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rPr>
          <w:rFonts w:asciiTheme="minorEastAsia" w:hAnsiTheme="minorEastAsia" w:eastAsiaTheme="minorEastAsia" w:cstheme="minorEastAsia"/>
          <w:sz w:val="28"/>
        </w:rPr>
      </w:pPr>
      <w:r>
        <w:rPr>
          <w:rFonts w:hint="eastAsia" w:asciiTheme="minorEastAsia" w:hAnsiTheme="minorEastAsia" w:eastAsiaTheme="minorEastAsia" w:cstheme="minorEastAsia"/>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2065" b="762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9"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rPr>
          <w:rFonts w:asciiTheme="minorEastAsia" w:hAnsiTheme="minorEastAsia" w:eastAsiaTheme="minorEastAsia" w:cstheme="minorEastAsia"/>
          <w:sz w:val="28"/>
        </w:rPr>
      </w:pPr>
    </w:p>
    <w:p>
      <w:pPr>
        <w:kinsoku w:val="0"/>
        <w:overflowPunct w:val="0"/>
        <w:ind w:right="17"/>
        <w:jc w:val="center"/>
        <w:rPr>
          <w:rFonts w:asciiTheme="minorEastAsia" w:hAnsiTheme="minorEastAsia" w:eastAsiaTheme="minorEastAsia" w:cstheme="minorEastAsia"/>
          <w:sz w:val="28"/>
        </w:rPr>
      </w:pPr>
    </w:p>
    <w:p>
      <w:pPr>
        <w:kinsoku w:val="0"/>
        <w:overflowPunct w:val="0"/>
        <w:ind w:right="17"/>
        <w:jc w:val="center"/>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br w:type="textWrapping"/>
      </w:r>
      <w:r>
        <w:rPr>
          <w:rFonts w:hint="eastAsia" w:asciiTheme="minorEastAsia" w:hAnsiTheme="minorEastAsia" w:eastAsiaTheme="minorEastAsia" w:cstheme="minorEastAsia"/>
          <w:sz w:val="28"/>
        </w:rPr>
        <w:br w:type="textWrapping"/>
      </w:r>
    </w:p>
    <w:p>
      <w:pPr>
        <w:pStyle w:val="2"/>
        <w:kinsoku w:val="0"/>
        <w:overflowPunct w:val="0"/>
        <w:spacing w:before="194"/>
        <w:jc w:val="center"/>
        <w:rPr>
          <w:rFonts w:asciiTheme="minorEastAsia" w:hAnsiTheme="minorEastAsia" w:eastAsiaTheme="minorEastAsia" w:cstheme="minorEastAsia"/>
          <w:sz w:val="92"/>
        </w:rPr>
      </w:pPr>
      <w:r>
        <w:rPr>
          <w:rFonts w:hint="eastAsia" w:asciiTheme="minorEastAsia" w:hAnsiTheme="minorEastAsia" w:eastAsiaTheme="minorEastAsia" w:cstheme="minorEastAsia"/>
          <w:sz w:val="92"/>
          <w14:shadow w14:blurRad="50800" w14:dist="38100" w14:dir="2700000" w14:sx="100000" w14:sy="100000" w14:kx="0" w14:ky="0" w14:algn="tl">
            <w14:srgbClr w14:val="000000">
              <w14:alpha w14:val="60000"/>
            </w14:srgbClr>
          </w14:shadow>
        </w:rPr>
        <w:t>竞争性磋商采购文件</w:t>
      </w:r>
    </w:p>
    <w:p>
      <w:pPr>
        <w:pStyle w:val="2"/>
        <w:kinsoku w:val="0"/>
        <w:overflowPunct w:val="0"/>
        <w:rPr>
          <w:rFonts w:asciiTheme="minorEastAsia" w:hAnsiTheme="minorEastAsia" w:eastAsiaTheme="minorEastAsia" w:cstheme="minorEastAsia"/>
          <w:sz w:val="20"/>
        </w:rPr>
      </w:pPr>
    </w:p>
    <w:p>
      <w:pPr>
        <w:pStyle w:val="2"/>
        <w:kinsoku w:val="0"/>
        <w:overflowPunct w:val="0"/>
        <w:jc w:val="center"/>
        <w:rPr>
          <w:rFonts w:asciiTheme="minorEastAsia" w:hAnsiTheme="minorEastAsia" w:eastAsiaTheme="minorEastAsia" w:cstheme="minorEastAsia"/>
          <w:sz w:val="20"/>
        </w:rPr>
      </w:pPr>
    </w:p>
    <w:p>
      <w:pPr>
        <w:pStyle w:val="2"/>
        <w:kinsoku w:val="0"/>
        <w:overflowPunct w:val="0"/>
        <w:rPr>
          <w:rFonts w:asciiTheme="minorEastAsia" w:hAnsiTheme="minorEastAsia" w:eastAsiaTheme="minorEastAsia" w:cstheme="minorEastAsia"/>
          <w:sz w:val="20"/>
        </w:rPr>
      </w:pPr>
    </w:p>
    <w:p>
      <w:pPr>
        <w:pStyle w:val="2"/>
        <w:kinsoku w:val="0"/>
        <w:overflowPunct w:val="0"/>
        <w:rPr>
          <w:rFonts w:asciiTheme="minorEastAsia" w:hAnsiTheme="minorEastAsia" w:eastAsiaTheme="minorEastAsia" w:cstheme="minorEastAsia"/>
          <w:sz w:val="20"/>
        </w:rPr>
      </w:pPr>
    </w:p>
    <w:p>
      <w:pPr>
        <w:pStyle w:val="2"/>
        <w:kinsoku w:val="0"/>
        <w:overflowPunct w:val="0"/>
        <w:spacing w:before="2" w:after="1"/>
        <w:rPr>
          <w:rFonts w:asciiTheme="minorEastAsia" w:hAnsiTheme="minorEastAsia" w:eastAsiaTheme="minorEastAsia" w:cstheme="minorEastAsia"/>
          <w:sz w:val="11"/>
        </w:rPr>
      </w:pPr>
    </w:p>
    <w:tbl>
      <w:tblPr>
        <w:tblStyle w:val="26"/>
        <w:tblW w:w="8146" w:type="dxa"/>
        <w:tblInd w:w="690" w:type="dxa"/>
        <w:tblLayout w:type="fixed"/>
        <w:tblCellMar>
          <w:top w:w="0" w:type="dxa"/>
          <w:left w:w="0" w:type="dxa"/>
          <w:bottom w:w="0" w:type="dxa"/>
          <w:right w:w="0" w:type="dxa"/>
        </w:tblCellMar>
      </w:tblPr>
      <w:tblGrid>
        <w:gridCol w:w="2093"/>
        <w:gridCol w:w="6053"/>
      </w:tblGrid>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项 目  编 号：</w:t>
            </w:r>
          </w:p>
        </w:tc>
        <w:tc>
          <w:tcPr>
            <w:tcW w:w="6053" w:type="dxa"/>
            <w:tcBorders>
              <w:top w:val="nil"/>
              <w:left w:val="nil"/>
              <w:bottom w:val="nil"/>
              <w:right w:val="nil"/>
              <w:tl2br w:val="nil"/>
              <w:tr2bl w:val="nil"/>
            </w:tcBorders>
            <w:vAlign w:val="center"/>
          </w:tcPr>
          <w:p>
            <w:pPr>
              <w:pStyle w:val="95"/>
              <w:kinsoku w:val="0"/>
              <w:overflowPunct w:val="0"/>
              <w:spacing w:before="122"/>
              <w:ind w:left="55"/>
              <w:rPr>
                <w:rFonts w:hint="default" w:asciiTheme="minorEastAsia" w:hAnsiTheme="minorEastAsia" w:eastAsiaTheme="minorEastAsia" w:cstheme="minorEastAsia"/>
                <w:b/>
                <w:sz w:val="28"/>
              </w:rPr>
            </w:pPr>
            <w:r>
              <w:rPr>
                <w:rFonts w:hint="default" w:asciiTheme="minorEastAsia" w:hAnsiTheme="minorEastAsia" w:eastAsiaTheme="minorEastAsia" w:cstheme="minorEastAsia"/>
                <w:b/>
                <w:sz w:val="28"/>
              </w:rPr>
              <w:t>ZJZB-202007-198</w:t>
            </w:r>
          </w:p>
        </w:tc>
      </w:tr>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3"/>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项 目  名 称：</w:t>
            </w:r>
          </w:p>
        </w:tc>
        <w:tc>
          <w:tcPr>
            <w:tcW w:w="6053" w:type="dxa"/>
            <w:tcBorders>
              <w:top w:val="nil"/>
              <w:left w:val="nil"/>
              <w:bottom w:val="nil"/>
              <w:right w:val="nil"/>
              <w:tl2br w:val="nil"/>
              <w:tr2bl w:val="nil"/>
            </w:tcBorders>
            <w:vAlign w:val="center"/>
          </w:tcPr>
          <w:p>
            <w:pPr>
              <w:pStyle w:val="95"/>
              <w:kinsoku w:val="0"/>
              <w:overflowPunct w:val="0"/>
              <w:spacing w:before="123" w:line="242" w:lineRule="auto"/>
              <w:ind w:left="55" w:right="136"/>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湖北美术学院纳入2020年省直事业单位统一公开招聘岗位面试服务项目</w:t>
            </w:r>
          </w:p>
        </w:tc>
      </w:tr>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 购  方 式：</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竞争性磋商</w:t>
            </w:r>
          </w:p>
        </w:tc>
      </w:tr>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 购  类 别：</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服务</w:t>
            </w:r>
          </w:p>
        </w:tc>
      </w:tr>
    </w:tbl>
    <w:p>
      <w:pPr>
        <w:pStyle w:val="2"/>
        <w:kinsoku w:val="0"/>
        <w:overflowPunct w:val="0"/>
        <w:rPr>
          <w:rFonts w:asciiTheme="minorEastAsia" w:hAnsiTheme="minorEastAsia" w:eastAsiaTheme="minorEastAsia" w:cstheme="minorEastAsia"/>
          <w:sz w:val="20"/>
        </w:rPr>
      </w:pPr>
    </w:p>
    <w:p>
      <w:pPr>
        <w:pStyle w:val="2"/>
        <w:kinsoku w:val="0"/>
        <w:overflowPunct w:val="0"/>
        <w:rPr>
          <w:rFonts w:asciiTheme="minorEastAsia" w:hAnsiTheme="minorEastAsia" w:eastAsiaTheme="minorEastAsia" w:cstheme="minorEastAsia"/>
          <w:sz w:val="20"/>
        </w:rPr>
      </w:pPr>
    </w:p>
    <w:p>
      <w:pPr>
        <w:pStyle w:val="2"/>
        <w:kinsoku w:val="0"/>
        <w:overflowPunct w:val="0"/>
        <w:rPr>
          <w:rFonts w:asciiTheme="minorEastAsia" w:hAnsiTheme="minorEastAsia" w:eastAsiaTheme="minorEastAsia" w:cstheme="minorEastAsia"/>
          <w:sz w:val="20"/>
        </w:rPr>
      </w:pPr>
    </w:p>
    <w:p>
      <w:pPr>
        <w:pStyle w:val="2"/>
        <w:kinsoku w:val="0"/>
        <w:overflowPunct w:val="0"/>
        <w:rPr>
          <w:rFonts w:asciiTheme="minorEastAsia" w:hAnsiTheme="minorEastAsia" w:eastAsiaTheme="minorEastAsia" w:cstheme="minorEastAsia"/>
          <w:sz w:val="20"/>
        </w:rPr>
      </w:pPr>
    </w:p>
    <w:p>
      <w:pPr>
        <w:pStyle w:val="2"/>
        <w:kinsoku w:val="0"/>
        <w:overflowPunct w:val="0"/>
        <w:rPr>
          <w:rFonts w:asciiTheme="minorEastAsia" w:hAnsiTheme="minorEastAsia" w:eastAsiaTheme="minorEastAsia" w:cstheme="minorEastAsia"/>
          <w:sz w:val="20"/>
        </w:rPr>
      </w:pPr>
    </w:p>
    <w:p>
      <w:pPr>
        <w:pStyle w:val="2"/>
        <w:kinsoku w:val="0"/>
        <w:overflowPunct w:val="0"/>
        <w:rPr>
          <w:rFonts w:asciiTheme="minorEastAsia" w:hAnsiTheme="minorEastAsia" w:eastAsiaTheme="minorEastAsia" w:cstheme="minorEastAsia"/>
          <w:sz w:val="20"/>
        </w:rPr>
      </w:pPr>
    </w:p>
    <w:p>
      <w:pPr>
        <w:pStyle w:val="2"/>
        <w:kinsoku w:val="0"/>
        <w:overflowPunct w:val="0"/>
        <w:rPr>
          <w:rFonts w:asciiTheme="minorEastAsia" w:hAnsiTheme="minorEastAsia" w:eastAsiaTheme="minorEastAsia" w:cstheme="minorEastAsia"/>
          <w:sz w:val="20"/>
        </w:rPr>
      </w:pPr>
    </w:p>
    <w:p>
      <w:pPr>
        <w:pStyle w:val="2"/>
        <w:kinsoku w:val="0"/>
        <w:overflowPunct w:val="0"/>
        <w:spacing w:before="4"/>
        <w:rPr>
          <w:rFonts w:asciiTheme="minorEastAsia" w:hAnsiTheme="minorEastAsia" w:eastAsiaTheme="minorEastAsia" w:cstheme="minorEastAsia"/>
          <w:sz w:val="20"/>
        </w:rPr>
      </w:pPr>
    </w:p>
    <w:tbl>
      <w:tblPr>
        <w:tblStyle w:val="26"/>
        <w:tblW w:w="8123" w:type="dxa"/>
        <w:tblInd w:w="713" w:type="dxa"/>
        <w:tblLayout w:type="fixed"/>
        <w:tblCellMar>
          <w:top w:w="0" w:type="dxa"/>
          <w:left w:w="0" w:type="dxa"/>
          <w:bottom w:w="0" w:type="dxa"/>
          <w:right w:w="0" w:type="dxa"/>
        </w:tblCellMar>
      </w:tblPr>
      <w:tblGrid>
        <w:gridCol w:w="2041"/>
        <w:gridCol w:w="6082"/>
      </w:tblGrid>
      <w:tr>
        <w:tblPrEx>
          <w:tblCellMar>
            <w:top w:w="0" w:type="dxa"/>
            <w:left w:w="0" w:type="dxa"/>
            <w:bottom w:w="0" w:type="dxa"/>
            <w:right w:w="0" w:type="dxa"/>
          </w:tblCellMar>
        </w:tblPrEx>
        <w:trPr>
          <w:trHeight w:val="441"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   购   人：</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湖北美术学院</w:t>
            </w:r>
          </w:p>
        </w:tc>
      </w:tr>
      <w:tr>
        <w:tblPrEx>
          <w:tblCellMar>
            <w:top w:w="0" w:type="dxa"/>
            <w:left w:w="0" w:type="dxa"/>
            <w:bottom w:w="0" w:type="dxa"/>
            <w:right w:w="0" w:type="dxa"/>
          </w:tblCellMar>
        </w:tblPrEx>
        <w:trPr>
          <w:trHeight w:val="603"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采购代理机构：</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中经国际招标集团有限公司</w:t>
            </w:r>
          </w:p>
        </w:tc>
      </w:tr>
      <w:tr>
        <w:tblPrEx>
          <w:tblCellMar>
            <w:top w:w="0" w:type="dxa"/>
            <w:left w:w="0" w:type="dxa"/>
            <w:bottom w:w="0" w:type="dxa"/>
            <w:right w:w="0" w:type="dxa"/>
          </w:tblCellMar>
        </w:tblPrEx>
        <w:trPr>
          <w:trHeight w:val="442"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编 制 时 间 ：</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2020年7月</w:t>
            </w:r>
          </w:p>
        </w:tc>
      </w:tr>
    </w:tbl>
    <w:p>
      <w:pPr>
        <w:rPr>
          <w:rFonts w:asciiTheme="minorEastAsia" w:hAnsiTheme="minorEastAsia" w:eastAsiaTheme="minorEastAsia" w:cstheme="minorEastAsia"/>
          <w:sz w:val="20"/>
        </w:rPr>
        <w:sectPr>
          <w:type w:val="continuous"/>
          <w:pgSz w:w="11910" w:h="16840"/>
          <w:pgMar w:top="1400" w:right="1200" w:bottom="280" w:left="1200" w:header="720" w:footer="720" w:gutter="0"/>
          <w:cols w:space="720" w:num="1"/>
        </w:sectPr>
      </w:pPr>
    </w:p>
    <w:p>
      <w:pPr>
        <w:jc w:val="center"/>
        <w:rPr>
          <w:rFonts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目  录</w:t>
      </w:r>
    </w:p>
    <w:p>
      <w:pPr>
        <w:jc w:val="center"/>
        <w:rPr>
          <w:rFonts w:asciiTheme="minorEastAsia" w:hAnsiTheme="minorEastAsia" w:eastAsiaTheme="minorEastAsia" w:cstheme="minorEastAsia"/>
          <w:b/>
          <w:bCs/>
          <w:szCs w:val="21"/>
          <w:lang w:val="zh-CN"/>
        </w:rPr>
      </w:pPr>
    </w:p>
    <w:p>
      <w:pPr>
        <w:pStyle w:val="20"/>
        <w:tabs>
          <w:tab w:val="right" w:leader="dot" w:pos="9072"/>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"1-3" \h \z \u </w:instrText>
      </w:r>
      <w:r>
        <w:rPr>
          <w:rFonts w:hint="eastAsia" w:asciiTheme="minorEastAsia" w:hAnsiTheme="minorEastAsia" w:eastAsiaTheme="minorEastAsia" w:cstheme="minorEastAsia"/>
          <w:sz w:val="24"/>
        </w:rPr>
        <w:fldChar w:fldCharType="separate"/>
      </w:r>
      <w:r>
        <w:fldChar w:fldCharType="begin"/>
      </w:r>
      <w:r>
        <w:instrText xml:space="preserve"> HYPERLINK \l "_Toc9687" </w:instrText>
      </w:r>
      <w:r>
        <w:fldChar w:fldCharType="separate"/>
      </w:r>
      <w:r>
        <w:rPr>
          <w:bCs/>
          <w:szCs w:val="36"/>
        </w:rPr>
        <w:t xml:space="preserve">第一章 </w:t>
      </w:r>
      <w:r>
        <w:rPr>
          <w:rFonts w:hint="eastAsia" w:ascii="宋体" w:hAnsi="宋体" w:cs="宋体"/>
          <w:szCs w:val="36"/>
        </w:rPr>
        <w:t>竞争性磋商公告</w:t>
      </w:r>
      <w:r>
        <w:tab/>
      </w:r>
      <w:r>
        <w:fldChar w:fldCharType="end"/>
      </w:r>
    </w:p>
    <w:p>
      <w:pPr>
        <w:pStyle w:val="22"/>
        <w:tabs>
          <w:tab w:val="right" w:leader="dot" w:pos="9072"/>
        </w:tabs>
      </w:pPr>
      <w:r>
        <w:fldChar w:fldCharType="begin"/>
      </w:r>
      <w:r>
        <w:instrText xml:space="preserve"> HYPERLINK \l "_Toc1828" </w:instrText>
      </w:r>
      <w:r>
        <w:fldChar w:fldCharType="separate"/>
      </w:r>
      <w:r>
        <w:rPr>
          <w:rFonts w:hint="eastAsia" w:ascii="宋体" w:hAnsi="宋体" w:cs="宋体"/>
          <w:szCs w:val="21"/>
        </w:rPr>
        <w:t>一、 项目基本情况</w:t>
      </w:r>
      <w:r>
        <w:tab/>
      </w:r>
      <w:r>
        <w:fldChar w:fldCharType="end"/>
      </w:r>
    </w:p>
    <w:p>
      <w:pPr>
        <w:pStyle w:val="22"/>
        <w:tabs>
          <w:tab w:val="right" w:leader="dot" w:pos="9072"/>
        </w:tabs>
      </w:pPr>
      <w:r>
        <w:fldChar w:fldCharType="begin"/>
      </w:r>
      <w:r>
        <w:instrText xml:space="preserve"> HYPERLINK \l "_Toc9521" </w:instrText>
      </w:r>
      <w:r>
        <w:fldChar w:fldCharType="separate"/>
      </w:r>
      <w:r>
        <w:rPr>
          <w:rFonts w:hint="eastAsia" w:ascii="宋体" w:hAnsi="宋体" w:cs="宋体"/>
          <w:szCs w:val="21"/>
        </w:rPr>
        <w:t>二、 申请人的资格要求</w:t>
      </w:r>
      <w:r>
        <w:tab/>
      </w:r>
      <w:r>
        <w:fldChar w:fldCharType="end"/>
      </w:r>
    </w:p>
    <w:p>
      <w:pPr>
        <w:pStyle w:val="22"/>
        <w:tabs>
          <w:tab w:val="right" w:leader="dot" w:pos="9072"/>
        </w:tabs>
      </w:pPr>
      <w:r>
        <w:fldChar w:fldCharType="begin"/>
      </w:r>
      <w:r>
        <w:instrText xml:space="preserve"> HYPERLINK \l "_Toc6429" </w:instrText>
      </w:r>
      <w:r>
        <w:fldChar w:fldCharType="separate"/>
      </w:r>
      <w:r>
        <w:rPr>
          <w:rFonts w:hint="eastAsia" w:ascii="宋体" w:hAnsi="宋体" w:cs="宋体"/>
          <w:szCs w:val="21"/>
        </w:rPr>
        <w:t>三、 获取采购文件</w:t>
      </w:r>
      <w:r>
        <w:tab/>
      </w:r>
      <w:r>
        <w:fldChar w:fldCharType="end"/>
      </w:r>
    </w:p>
    <w:p>
      <w:pPr>
        <w:pStyle w:val="22"/>
        <w:tabs>
          <w:tab w:val="right" w:leader="dot" w:pos="9072"/>
        </w:tabs>
      </w:pPr>
      <w:r>
        <w:fldChar w:fldCharType="begin"/>
      </w:r>
      <w:r>
        <w:instrText xml:space="preserve"> HYPERLINK \l "_Toc22350" </w:instrText>
      </w:r>
      <w:r>
        <w:fldChar w:fldCharType="separate"/>
      </w:r>
      <w:r>
        <w:rPr>
          <w:rFonts w:hint="eastAsia" w:ascii="宋体" w:hAnsi="宋体" w:cs="宋体"/>
          <w:szCs w:val="21"/>
        </w:rPr>
        <w:t>四、 响应文件提交</w:t>
      </w:r>
      <w:r>
        <w:tab/>
      </w:r>
      <w:r>
        <w:fldChar w:fldCharType="end"/>
      </w:r>
    </w:p>
    <w:p>
      <w:pPr>
        <w:pStyle w:val="22"/>
        <w:tabs>
          <w:tab w:val="right" w:leader="dot" w:pos="9072"/>
        </w:tabs>
      </w:pPr>
      <w:r>
        <w:fldChar w:fldCharType="begin"/>
      </w:r>
      <w:r>
        <w:instrText xml:space="preserve"> HYPERLINK \l "_Toc585" </w:instrText>
      </w:r>
      <w:r>
        <w:fldChar w:fldCharType="separate"/>
      </w:r>
      <w:r>
        <w:rPr>
          <w:rFonts w:hint="eastAsia"/>
          <w:szCs w:val="21"/>
        </w:rPr>
        <w:t xml:space="preserve">五、 </w:t>
      </w:r>
      <w:r>
        <w:rPr>
          <w:rFonts w:hint="eastAsia" w:ascii="宋体" w:hAnsi="宋体" w:cs="宋体"/>
          <w:szCs w:val="21"/>
        </w:rPr>
        <w:t>开启</w:t>
      </w:r>
      <w:r>
        <w:tab/>
      </w:r>
      <w:r>
        <w:fldChar w:fldCharType="end"/>
      </w:r>
    </w:p>
    <w:p>
      <w:pPr>
        <w:pStyle w:val="22"/>
        <w:tabs>
          <w:tab w:val="right" w:leader="dot" w:pos="9072"/>
        </w:tabs>
      </w:pPr>
      <w:r>
        <w:fldChar w:fldCharType="begin"/>
      </w:r>
      <w:r>
        <w:instrText xml:space="preserve"> HYPERLINK \l "_Toc30303" </w:instrText>
      </w:r>
      <w:r>
        <w:fldChar w:fldCharType="separate"/>
      </w:r>
      <w:r>
        <w:rPr>
          <w:rFonts w:hint="eastAsia" w:ascii="宋体" w:hAnsi="宋体" w:cs="宋体"/>
          <w:szCs w:val="21"/>
        </w:rPr>
        <w:t>六、 采购人联系方式公告期限</w:t>
      </w:r>
      <w:r>
        <w:tab/>
      </w:r>
      <w:r>
        <w:fldChar w:fldCharType="end"/>
      </w:r>
    </w:p>
    <w:p>
      <w:pPr>
        <w:pStyle w:val="22"/>
        <w:tabs>
          <w:tab w:val="right" w:leader="dot" w:pos="9072"/>
        </w:tabs>
      </w:pPr>
      <w:r>
        <w:fldChar w:fldCharType="begin"/>
      </w:r>
      <w:r>
        <w:instrText xml:space="preserve"> HYPERLINK \l "_Toc2554" </w:instrText>
      </w:r>
      <w:r>
        <w:fldChar w:fldCharType="separate"/>
      </w:r>
      <w:r>
        <w:rPr>
          <w:rFonts w:hint="eastAsia" w:ascii="宋体" w:hAnsi="宋体" w:cs="宋体"/>
          <w:szCs w:val="21"/>
        </w:rPr>
        <w:t>七、 其他补充事宜</w:t>
      </w:r>
      <w:r>
        <w:tab/>
      </w:r>
      <w:r>
        <w:fldChar w:fldCharType="end"/>
      </w:r>
    </w:p>
    <w:p>
      <w:pPr>
        <w:pStyle w:val="22"/>
        <w:tabs>
          <w:tab w:val="right" w:leader="dot" w:pos="9072"/>
        </w:tabs>
      </w:pPr>
      <w:r>
        <w:fldChar w:fldCharType="begin"/>
      </w:r>
      <w:r>
        <w:instrText xml:space="preserve"> HYPERLINK \l "_Toc21191" </w:instrText>
      </w:r>
      <w:r>
        <w:fldChar w:fldCharType="separate"/>
      </w:r>
      <w:r>
        <w:rPr>
          <w:rFonts w:hint="eastAsia" w:ascii="宋体" w:hAnsi="宋体" w:cs="宋体"/>
          <w:szCs w:val="21"/>
        </w:rPr>
        <w:t>八、 凡对本次采购提出询问，请按以下方式联系</w:t>
      </w:r>
      <w:r>
        <w:tab/>
      </w:r>
      <w:r>
        <w:fldChar w:fldCharType="end"/>
      </w:r>
    </w:p>
    <w:p>
      <w:pPr>
        <w:pStyle w:val="22"/>
        <w:tabs>
          <w:tab w:val="right" w:leader="dot" w:pos="9072"/>
        </w:tabs>
      </w:pPr>
      <w:r>
        <w:fldChar w:fldCharType="begin"/>
      </w:r>
      <w:r>
        <w:instrText xml:space="preserve"> HYPERLINK \l "_Toc13299" </w:instrText>
      </w:r>
      <w:r>
        <w:fldChar w:fldCharType="separate"/>
      </w:r>
      <w:r>
        <w:rPr>
          <w:rFonts w:hint="eastAsia" w:asciiTheme="minorEastAsia" w:hAnsiTheme="minorEastAsia" w:eastAsiaTheme="minorEastAsia" w:cstheme="minorEastAsia"/>
          <w:szCs w:val="21"/>
        </w:rPr>
        <w:t>九、 注意事项</w:t>
      </w:r>
      <w:r>
        <w:tab/>
      </w:r>
      <w:r>
        <w:fldChar w:fldCharType="end"/>
      </w:r>
    </w:p>
    <w:p>
      <w:pPr>
        <w:pStyle w:val="20"/>
        <w:tabs>
          <w:tab w:val="right" w:leader="dot" w:pos="9072"/>
        </w:tabs>
      </w:pPr>
      <w:r>
        <w:fldChar w:fldCharType="begin"/>
      </w:r>
      <w:r>
        <w:instrText xml:space="preserve"> HYPERLINK \l "_Toc19044" </w:instrText>
      </w:r>
      <w:r>
        <w:fldChar w:fldCharType="separate"/>
      </w:r>
      <w:r>
        <w:rPr>
          <w:rFonts w:asciiTheme="minorEastAsia" w:hAnsiTheme="minorEastAsia" w:eastAsiaTheme="minorEastAsia" w:cstheme="minorEastAsia"/>
          <w:szCs w:val="36"/>
        </w:rPr>
        <w:t xml:space="preserve">第二章 </w:t>
      </w:r>
      <w:r>
        <w:rPr>
          <w:rFonts w:hint="eastAsia" w:asciiTheme="minorEastAsia" w:hAnsiTheme="minorEastAsia" w:eastAsiaTheme="minorEastAsia" w:cstheme="minorEastAsia"/>
          <w:szCs w:val="36"/>
        </w:rPr>
        <w:t>供应商须知</w:t>
      </w:r>
      <w:r>
        <w:tab/>
      </w:r>
      <w:r>
        <w:fldChar w:fldCharType="end"/>
      </w:r>
    </w:p>
    <w:p>
      <w:pPr>
        <w:pStyle w:val="22"/>
        <w:tabs>
          <w:tab w:val="right" w:leader="dot" w:pos="9072"/>
        </w:tabs>
      </w:pPr>
      <w:r>
        <w:fldChar w:fldCharType="begin"/>
      </w:r>
      <w:r>
        <w:instrText xml:space="preserve"> HYPERLINK \l "_Toc21280" </w:instrText>
      </w:r>
      <w:r>
        <w:fldChar w:fldCharType="separate"/>
      </w:r>
      <w:r>
        <w:rPr>
          <w:rFonts w:hint="eastAsia" w:asciiTheme="minorEastAsia" w:hAnsiTheme="minorEastAsia" w:eastAsiaTheme="minorEastAsia" w:cstheme="minorEastAsia"/>
          <w:szCs w:val="21"/>
        </w:rPr>
        <w:t>《供应商须知前附表》</w:t>
      </w:r>
      <w:r>
        <w:tab/>
      </w:r>
      <w:r>
        <w:fldChar w:fldCharType="end"/>
      </w:r>
    </w:p>
    <w:p>
      <w:pPr>
        <w:pStyle w:val="22"/>
        <w:tabs>
          <w:tab w:val="right" w:leader="dot" w:pos="9072"/>
        </w:tabs>
      </w:pPr>
      <w:r>
        <w:fldChar w:fldCharType="begin"/>
      </w:r>
      <w:r>
        <w:instrText xml:space="preserve"> HYPERLINK \l "_Toc9970" </w:instrText>
      </w:r>
      <w:r>
        <w:fldChar w:fldCharType="separate"/>
      </w:r>
      <w:r>
        <w:rPr>
          <w:rFonts w:hint="eastAsia" w:asciiTheme="minorEastAsia" w:hAnsiTheme="minorEastAsia" w:eastAsiaTheme="minorEastAsia" w:cstheme="minorEastAsia"/>
          <w:szCs w:val="21"/>
        </w:rPr>
        <w:t>供应商须知</w:t>
      </w:r>
      <w:r>
        <w:tab/>
      </w:r>
      <w:r>
        <w:fldChar w:fldCharType="end"/>
      </w:r>
    </w:p>
    <w:p>
      <w:pPr>
        <w:pStyle w:val="22"/>
        <w:tabs>
          <w:tab w:val="right" w:leader="dot" w:pos="9072"/>
        </w:tabs>
      </w:pPr>
      <w:r>
        <w:fldChar w:fldCharType="begin"/>
      </w:r>
      <w:r>
        <w:instrText xml:space="preserve"> HYPERLINK \l "_Toc10976" </w:instrText>
      </w:r>
      <w:r>
        <w:fldChar w:fldCharType="separate"/>
      </w:r>
      <w:r>
        <w:rPr>
          <w:rFonts w:asciiTheme="minorEastAsia" w:hAnsiTheme="minorEastAsia" w:eastAsiaTheme="minorEastAsia" w:cstheme="minorEastAsia"/>
          <w:szCs w:val="21"/>
        </w:rPr>
        <w:t xml:space="preserve">一、 </w:t>
      </w:r>
      <w:r>
        <w:rPr>
          <w:rFonts w:hint="eastAsia" w:asciiTheme="minorEastAsia" w:hAnsiTheme="minorEastAsia" w:eastAsiaTheme="minorEastAsia" w:cstheme="minorEastAsia"/>
          <w:szCs w:val="21"/>
        </w:rPr>
        <w:t>总则</w:t>
      </w:r>
      <w:r>
        <w:tab/>
      </w:r>
      <w:r>
        <w:fldChar w:fldCharType="end"/>
      </w:r>
    </w:p>
    <w:p>
      <w:pPr>
        <w:pStyle w:val="22"/>
        <w:tabs>
          <w:tab w:val="right" w:leader="dot" w:pos="9072"/>
        </w:tabs>
      </w:pPr>
      <w:r>
        <w:fldChar w:fldCharType="begin"/>
      </w:r>
      <w:r>
        <w:instrText xml:space="preserve"> HYPERLINK \l "_Toc1174" </w:instrText>
      </w:r>
      <w:r>
        <w:fldChar w:fldCharType="separate"/>
      </w:r>
      <w:r>
        <w:rPr>
          <w:rFonts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适用法律及范围</w:t>
      </w:r>
      <w:r>
        <w:tab/>
      </w:r>
      <w:r>
        <w:fldChar w:fldCharType="end"/>
      </w:r>
    </w:p>
    <w:p>
      <w:pPr>
        <w:pStyle w:val="22"/>
        <w:tabs>
          <w:tab w:val="right" w:leader="dot" w:pos="9072"/>
        </w:tabs>
      </w:pPr>
      <w:r>
        <w:fldChar w:fldCharType="begin"/>
      </w:r>
      <w:r>
        <w:instrText xml:space="preserve"> HYPERLINK \l "_Toc23522" </w:instrText>
      </w:r>
      <w:r>
        <w:fldChar w:fldCharType="separate"/>
      </w:r>
      <w:r>
        <w:rPr>
          <w:rFonts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定义</w:t>
      </w:r>
      <w:r>
        <w:tab/>
      </w:r>
      <w:r>
        <w:fldChar w:fldCharType="end"/>
      </w:r>
    </w:p>
    <w:p>
      <w:pPr>
        <w:pStyle w:val="22"/>
        <w:tabs>
          <w:tab w:val="right" w:leader="dot" w:pos="9072"/>
        </w:tabs>
      </w:pPr>
      <w:r>
        <w:fldChar w:fldCharType="begin"/>
      </w:r>
      <w:r>
        <w:instrText xml:space="preserve"> HYPERLINK \l "_Toc10723" </w:instrText>
      </w:r>
      <w:r>
        <w:fldChar w:fldCharType="separate"/>
      </w:r>
      <w:r>
        <w:rPr>
          <w:rFonts w:asciiTheme="minorEastAsia" w:hAnsiTheme="minorEastAsia" w:eastAsiaTheme="minorEastAsia" w:cstheme="minorEastAsia"/>
          <w:szCs w:val="21"/>
        </w:rPr>
        <w:t xml:space="preserve">3、 </w:t>
      </w:r>
      <w:r>
        <w:rPr>
          <w:rFonts w:hint="eastAsia" w:asciiTheme="minorEastAsia" w:hAnsiTheme="minorEastAsia" w:eastAsiaTheme="minorEastAsia" w:cstheme="minorEastAsia"/>
          <w:snapToGrid w:val="0"/>
          <w:kern w:val="0"/>
          <w:szCs w:val="21"/>
          <w:lang w:val="zh-CN"/>
        </w:rPr>
        <w:t>工程、货物及服务</w:t>
      </w:r>
      <w:r>
        <w:tab/>
      </w:r>
      <w:r>
        <w:fldChar w:fldCharType="end"/>
      </w:r>
    </w:p>
    <w:p>
      <w:pPr>
        <w:pStyle w:val="22"/>
        <w:tabs>
          <w:tab w:val="right" w:leader="dot" w:pos="9072"/>
        </w:tabs>
      </w:pPr>
      <w:r>
        <w:fldChar w:fldCharType="begin"/>
      </w:r>
      <w:r>
        <w:instrText xml:space="preserve"> HYPERLINK \l "_Toc162" </w:instrText>
      </w:r>
      <w:r>
        <w:fldChar w:fldCharType="separate"/>
      </w:r>
      <w:r>
        <w:rPr>
          <w:rFonts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费用</w:t>
      </w:r>
      <w:r>
        <w:tab/>
      </w:r>
      <w:r>
        <w:fldChar w:fldCharType="end"/>
      </w:r>
    </w:p>
    <w:p>
      <w:pPr>
        <w:pStyle w:val="22"/>
        <w:tabs>
          <w:tab w:val="right" w:leader="dot" w:pos="9072"/>
        </w:tabs>
      </w:pPr>
      <w:r>
        <w:fldChar w:fldCharType="begin"/>
      </w:r>
      <w:r>
        <w:instrText xml:space="preserve"> HYPERLINK \l "_Toc17615" </w:instrText>
      </w:r>
      <w:r>
        <w:fldChar w:fldCharType="separate"/>
      </w:r>
      <w:r>
        <w:rPr>
          <w:rFonts w:asciiTheme="minorEastAsia" w:hAnsiTheme="minorEastAsia" w:eastAsiaTheme="minorEastAsia" w:cstheme="minorEastAsia"/>
          <w:szCs w:val="21"/>
        </w:rPr>
        <w:t xml:space="preserve">二、 </w:t>
      </w:r>
      <w:r>
        <w:rPr>
          <w:rFonts w:hint="eastAsia" w:asciiTheme="minorEastAsia" w:hAnsiTheme="minorEastAsia" w:eastAsiaTheme="minorEastAsia" w:cstheme="minorEastAsia"/>
          <w:szCs w:val="21"/>
        </w:rPr>
        <w:t>竞争性磋商采购文件</w:t>
      </w:r>
      <w:r>
        <w:tab/>
      </w:r>
      <w:r>
        <w:fldChar w:fldCharType="end"/>
      </w:r>
    </w:p>
    <w:p>
      <w:pPr>
        <w:pStyle w:val="22"/>
        <w:tabs>
          <w:tab w:val="right" w:leader="dot" w:pos="9072"/>
        </w:tabs>
      </w:pPr>
      <w:r>
        <w:fldChar w:fldCharType="begin"/>
      </w:r>
      <w:r>
        <w:instrText xml:space="preserve"> HYPERLINK \l "_Toc16130" </w:instrText>
      </w:r>
      <w:r>
        <w:fldChar w:fldCharType="separate"/>
      </w:r>
      <w:r>
        <w:rPr>
          <w:rFonts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竞争性磋商采购文件的构成</w:t>
      </w:r>
      <w:r>
        <w:tab/>
      </w:r>
      <w:r>
        <w:fldChar w:fldCharType="end"/>
      </w:r>
    </w:p>
    <w:p>
      <w:pPr>
        <w:pStyle w:val="22"/>
        <w:tabs>
          <w:tab w:val="right" w:leader="dot" w:pos="9072"/>
        </w:tabs>
      </w:pPr>
      <w:r>
        <w:fldChar w:fldCharType="begin"/>
      </w:r>
      <w:r>
        <w:instrText xml:space="preserve"> HYPERLINK \l "_Toc23657" </w:instrText>
      </w:r>
      <w:r>
        <w:fldChar w:fldCharType="separate"/>
      </w:r>
      <w:r>
        <w:rPr>
          <w:rFonts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napToGrid w:val="0"/>
          <w:kern w:val="0"/>
          <w:szCs w:val="21"/>
          <w:lang w:val="zh-CN"/>
        </w:rPr>
        <w:t>竞争性磋商采购文件的澄清</w:t>
      </w:r>
      <w:r>
        <w:tab/>
      </w:r>
      <w:r>
        <w:fldChar w:fldCharType="end"/>
      </w:r>
    </w:p>
    <w:p>
      <w:pPr>
        <w:pStyle w:val="22"/>
        <w:tabs>
          <w:tab w:val="right" w:leader="dot" w:pos="9072"/>
        </w:tabs>
      </w:pPr>
      <w:r>
        <w:fldChar w:fldCharType="begin"/>
      </w:r>
      <w:r>
        <w:instrText xml:space="preserve"> HYPERLINK \l "_Toc32673" </w:instrText>
      </w:r>
      <w:r>
        <w:fldChar w:fldCharType="separate"/>
      </w:r>
      <w:r>
        <w:rPr>
          <w:rFonts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napToGrid w:val="0"/>
          <w:kern w:val="0"/>
          <w:szCs w:val="21"/>
          <w:lang w:val="zh-CN"/>
        </w:rPr>
        <w:t>竞争性磋商采购文件的修改</w:t>
      </w:r>
      <w:r>
        <w:tab/>
      </w:r>
      <w:r>
        <w:fldChar w:fldCharType="end"/>
      </w:r>
    </w:p>
    <w:p>
      <w:pPr>
        <w:pStyle w:val="22"/>
        <w:tabs>
          <w:tab w:val="right" w:leader="dot" w:pos="9072"/>
        </w:tabs>
      </w:pPr>
      <w:r>
        <w:fldChar w:fldCharType="begin"/>
      </w:r>
      <w:r>
        <w:instrText xml:space="preserve"> HYPERLINK \l "_Toc1378" </w:instrText>
      </w:r>
      <w:r>
        <w:fldChar w:fldCharType="separate"/>
      </w:r>
      <w:r>
        <w:rPr>
          <w:rFonts w:asciiTheme="minorEastAsia" w:hAnsiTheme="minorEastAsia" w:eastAsiaTheme="minorEastAsia" w:cstheme="minorEastAsia"/>
          <w:szCs w:val="21"/>
        </w:rPr>
        <w:t xml:space="preserve">三、 </w:t>
      </w:r>
      <w:r>
        <w:rPr>
          <w:rFonts w:hint="eastAsia" w:asciiTheme="minorEastAsia" w:hAnsiTheme="minorEastAsia" w:eastAsiaTheme="minorEastAsia" w:cstheme="minorEastAsia"/>
          <w:szCs w:val="21"/>
        </w:rPr>
        <w:t>竞争性磋商响应文件</w:t>
      </w:r>
      <w:r>
        <w:tab/>
      </w:r>
      <w:r>
        <w:fldChar w:fldCharType="end"/>
      </w:r>
    </w:p>
    <w:p>
      <w:pPr>
        <w:pStyle w:val="22"/>
        <w:tabs>
          <w:tab w:val="right" w:leader="dot" w:pos="9072"/>
        </w:tabs>
      </w:pPr>
      <w:r>
        <w:fldChar w:fldCharType="begin"/>
      </w:r>
      <w:r>
        <w:instrText xml:space="preserve"> HYPERLINK \l "_Toc16594" </w:instrText>
      </w:r>
      <w:r>
        <w:fldChar w:fldCharType="separate"/>
      </w:r>
      <w:r>
        <w:rPr>
          <w:rFonts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napToGrid w:val="0"/>
          <w:kern w:val="0"/>
          <w:szCs w:val="21"/>
          <w:lang w:val="zh-CN"/>
        </w:rPr>
        <w:t>语言和计量单位</w:t>
      </w:r>
      <w:r>
        <w:tab/>
      </w:r>
      <w:r>
        <w:fldChar w:fldCharType="end"/>
      </w:r>
    </w:p>
    <w:p>
      <w:pPr>
        <w:pStyle w:val="22"/>
        <w:tabs>
          <w:tab w:val="right" w:leader="dot" w:pos="9072"/>
        </w:tabs>
      </w:pPr>
      <w:r>
        <w:fldChar w:fldCharType="begin"/>
      </w:r>
      <w:r>
        <w:instrText xml:space="preserve"> HYPERLINK \l "_Toc6043" </w:instrText>
      </w:r>
      <w:r>
        <w:fldChar w:fldCharType="separate"/>
      </w:r>
      <w:r>
        <w:rPr>
          <w:rFonts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napToGrid w:val="0"/>
          <w:kern w:val="0"/>
          <w:szCs w:val="21"/>
          <w:lang w:val="zh-CN"/>
        </w:rPr>
        <w:t>竞争性磋商响应文件的构成</w:t>
      </w:r>
      <w:r>
        <w:tab/>
      </w:r>
      <w:r>
        <w:fldChar w:fldCharType="end"/>
      </w:r>
    </w:p>
    <w:p>
      <w:pPr>
        <w:pStyle w:val="22"/>
        <w:tabs>
          <w:tab w:val="right" w:leader="dot" w:pos="9072"/>
        </w:tabs>
      </w:pPr>
      <w:r>
        <w:fldChar w:fldCharType="begin"/>
      </w:r>
      <w:r>
        <w:instrText xml:space="preserve"> HYPERLINK \l "_Toc27235" </w:instrText>
      </w:r>
      <w:r>
        <w:fldChar w:fldCharType="separate"/>
      </w:r>
      <w:r>
        <w:rPr>
          <w:rFonts w:asciiTheme="minorEastAsia" w:hAnsiTheme="minorEastAsia" w:eastAsiaTheme="minorEastAsia" w:cstheme="minorEastAsia"/>
          <w:snapToGrid w:val="0"/>
          <w:kern w:val="0"/>
          <w:szCs w:val="21"/>
          <w:lang w:val="zh-CN"/>
        </w:rPr>
        <w:t xml:space="preserve">10、 </w:t>
      </w:r>
      <w:r>
        <w:rPr>
          <w:rFonts w:hint="eastAsia" w:asciiTheme="minorEastAsia" w:hAnsiTheme="minorEastAsia" w:eastAsiaTheme="minorEastAsia" w:cstheme="minorEastAsia"/>
          <w:snapToGrid w:val="0"/>
          <w:kern w:val="0"/>
          <w:szCs w:val="21"/>
          <w:lang w:val="zh-CN"/>
        </w:rPr>
        <w:t>竞争性磋商响应文件的编制</w:t>
      </w:r>
      <w:r>
        <w:tab/>
      </w:r>
      <w:r>
        <w:fldChar w:fldCharType="end"/>
      </w:r>
    </w:p>
    <w:p>
      <w:pPr>
        <w:pStyle w:val="22"/>
        <w:tabs>
          <w:tab w:val="right" w:leader="dot" w:pos="9072"/>
        </w:tabs>
      </w:pPr>
      <w:r>
        <w:fldChar w:fldCharType="begin"/>
      </w:r>
      <w:r>
        <w:instrText xml:space="preserve"> HYPERLINK \l "_Toc21843" </w:instrText>
      </w:r>
      <w:r>
        <w:fldChar w:fldCharType="separate"/>
      </w:r>
      <w:r>
        <w:rPr>
          <w:rFonts w:asciiTheme="minorEastAsia" w:hAnsiTheme="minorEastAsia" w:eastAsiaTheme="minorEastAsia" w:cstheme="minorEastAsia"/>
          <w:snapToGrid w:val="0"/>
          <w:kern w:val="0"/>
          <w:szCs w:val="21"/>
          <w:lang w:val="zh-CN"/>
        </w:rPr>
        <w:t xml:space="preserve">11、 </w:t>
      </w:r>
      <w:r>
        <w:rPr>
          <w:rFonts w:hint="eastAsia" w:asciiTheme="minorEastAsia" w:hAnsiTheme="minorEastAsia" w:eastAsiaTheme="minorEastAsia" w:cstheme="minorEastAsia"/>
          <w:snapToGrid w:val="0"/>
          <w:kern w:val="0"/>
          <w:szCs w:val="21"/>
          <w:lang w:val="zh-CN"/>
        </w:rPr>
        <w:t>磋商报价</w:t>
      </w:r>
      <w:r>
        <w:tab/>
      </w:r>
      <w:r>
        <w:fldChar w:fldCharType="end"/>
      </w:r>
    </w:p>
    <w:p>
      <w:pPr>
        <w:pStyle w:val="22"/>
        <w:tabs>
          <w:tab w:val="right" w:leader="dot" w:pos="9072"/>
        </w:tabs>
      </w:pPr>
      <w:r>
        <w:fldChar w:fldCharType="begin"/>
      </w:r>
      <w:r>
        <w:instrText xml:space="preserve"> HYPERLINK \l "_Toc28826" </w:instrText>
      </w:r>
      <w:r>
        <w:fldChar w:fldCharType="separate"/>
      </w:r>
      <w:r>
        <w:rPr>
          <w:rFonts w:asciiTheme="minorEastAsia" w:hAnsiTheme="minorEastAsia" w:eastAsiaTheme="minorEastAsia" w:cstheme="minorEastAsia"/>
          <w:snapToGrid w:val="0"/>
          <w:kern w:val="0"/>
          <w:szCs w:val="21"/>
          <w:lang w:val="zh-CN"/>
        </w:rPr>
        <w:t xml:space="preserve">12、 </w:t>
      </w:r>
      <w:r>
        <w:rPr>
          <w:rFonts w:hint="eastAsia" w:asciiTheme="minorEastAsia" w:hAnsiTheme="minorEastAsia" w:eastAsiaTheme="minorEastAsia" w:cstheme="minorEastAsia"/>
          <w:snapToGrid w:val="0"/>
          <w:kern w:val="0"/>
          <w:szCs w:val="21"/>
          <w:lang w:val="zh-CN"/>
        </w:rPr>
        <w:t>备选方案</w:t>
      </w:r>
      <w:r>
        <w:tab/>
      </w:r>
      <w:r>
        <w:fldChar w:fldCharType="end"/>
      </w:r>
    </w:p>
    <w:p>
      <w:pPr>
        <w:pStyle w:val="22"/>
        <w:tabs>
          <w:tab w:val="right" w:leader="dot" w:pos="9072"/>
        </w:tabs>
      </w:pPr>
      <w:r>
        <w:fldChar w:fldCharType="begin"/>
      </w:r>
      <w:r>
        <w:instrText xml:space="preserve"> HYPERLINK \l "_Toc14515" </w:instrText>
      </w:r>
      <w:r>
        <w:fldChar w:fldCharType="separate"/>
      </w:r>
      <w:r>
        <w:rPr>
          <w:rFonts w:asciiTheme="minorEastAsia" w:hAnsiTheme="minorEastAsia" w:eastAsiaTheme="minorEastAsia" w:cstheme="minorEastAsia"/>
          <w:snapToGrid w:val="0"/>
          <w:kern w:val="0"/>
          <w:szCs w:val="21"/>
          <w:lang w:val="zh-CN"/>
        </w:rPr>
        <w:t xml:space="preserve">13、 </w:t>
      </w:r>
      <w:r>
        <w:rPr>
          <w:rFonts w:hint="eastAsia" w:asciiTheme="minorEastAsia" w:hAnsiTheme="minorEastAsia" w:eastAsiaTheme="minorEastAsia" w:cstheme="minorEastAsia"/>
          <w:snapToGrid w:val="0"/>
          <w:kern w:val="0"/>
          <w:szCs w:val="21"/>
          <w:lang w:val="zh-CN"/>
        </w:rPr>
        <w:t>联合体</w:t>
      </w:r>
      <w:r>
        <w:tab/>
      </w:r>
      <w:r>
        <w:fldChar w:fldCharType="end"/>
      </w:r>
    </w:p>
    <w:p>
      <w:pPr>
        <w:pStyle w:val="22"/>
        <w:tabs>
          <w:tab w:val="right" w:leader="dot" w:pos="9072"/>
        </w:tabs>
      </w:pPr>
      <w:r>
        <w:fldChar w:fldCharType="begin"/>
      </w:r>
      <w:r>
        <w:instrText xml:space="preserve"> HYPERLINK \l "_Toc18443" </w:instrText>
      </w:r>
      <w:r>
        <w:fldChar w:fldCharType="separate"/>
      </w:r>
      <w:r>
        <w:rPr>
          <w:rFonts w:asciiTheme="minorEastAsia" w:hAnsiTheme="minorEastAsia" w:eastAsiaTheme="minorEastAsia" w:cstheme="minorEastAsia"/>
          <w:snapToGrid w:val="0"/>
          <w:kern w:val="0"/>
          <w:szCs w:val="21"/>
          <w:lang w:val="zh-CN"/>
        </w:rPr>
        <w:t xml:space="preserve">14、 </w:t>
      </w:r>
      <w:r>
        <w:rPr>
          <w:rFonts w:hint="eastAsia" w:asciiTheme="minorEastAsia" w:hAnsiTheme="minorEastAsia" w:eastAsiaTheme="minorEastAsia" w:cstheme="minorEastAsia"/>
          <w:snapToGrid w:val="0"/>
          <w:kern w:val="0"/>
          <w:szCs w:val="21"/>
          <w:lang w:val="zh-CN"/>
        </w:rPr>
        <w:t>供应商资格证明文件</w:t>
      </w:r>
      <w:r>
        <w:tab/>
      </w:r>
      <w:r>
        <w:fldChar w:fldCharType="end"/>
      </w:r>
    </w:p>
    <w:p>
      <w:pPr>
        <w:pStyle w:val="22"/>
        <w:tabs>
          <w:tab w:val="right" w:leader="dot" w:pos="9072"/>
        </w:tabs>
      </w:pPr>
      <w:r>
        <w:fldChar w:fldCharType="begin"/>
      </w:r>
      <w:r>
        <w:instrText xml:space="preserve"> HYPERLINK \l "_Toc711" </w:instrText>
      </w:r>
      <w:r>
        <w:fldChar w:fldCharType="separate"/>
      </w:r>
      <w:r>
        <w:rPr>
          <w:rFonts w:asciiTheme="minorEastAsia" w:hAnsiTheme="minorEastAsia" w:eastAsiaTheme="minorEastAsia" w:cstheme="minorEastAsia"/>
          <w:snapToGrid w:val="0"/>
          <w:kern w:val="0"/>
          <w:szCs w:val="21"/>
          <w:lang w:val="zh-CN"/>
        </w:rPr>
        <w:t xml:space="preserve">15、 </w:t>
      </w:r>
      <w:r>
        <w:rPr>
          <w:rFonts w:hint="eastAsia" w:asciiTheme="minorEastAsia" w:hAnsiTheme="minorEastAsia" w:eastAsiaTheme="minorEastAsia" w:cstheme="minorEastAsia"/>
          <w:snapToGrid w:val="0"/>
          <w:kern w:val="0"/>
          <w:szCs w:val="21"/>
          <w:lang w:val="zh-CN"/>
        </w:rPr>
        <w:t>证明报价内容、服务合格性和符合竞争性磋商采购文件规定的文件</w:t>
      </w:r>
      <w:r>
        <w:tab/>
      </w:r>
      <w:r>
        <w:fldChar w:fldCharType="end"/>
      </w:r>
    </w:p>
    <w:p>
      <w:pPr>
        <w:pStyle w:val="22"/>
        <w:tabs>
          <w:tab w:val="right" w:leader="dot" w:pos="9072"/>
        </w:tabs>
      </w:pPr>
      <w:r>
        <w:fldChar w:fldCharType="begin"/>
      </w:r>
      <w:r>
        <w:instrText xml:space="preserve"> HYPERLINK \l "_Toc31034" </w:instrText>
      </w:r>
      <w:r>
        <w:fldChar w:fldCharType="separate"/>
      </w:r>
      <w:r>
        <w:rPr>
          <w:rFonts w:asciiTheme="minorEastAsia" w:hAnsiTheme="minorEastAsia" w:eastAsiaTheme="minorEastAsia" w:cstheme="minorEastAsia"/>
          <w:snapToGrid w:val="0"/>
          <w:kern w:val="0"/>
          <w:szCs w:val="21"/>
          <w:lang w:val="zh-CN"/>
        </w:rPr>
        <w:t xml:space="preserve">16、 </w:t>
      </w:r>
      <w:r>
        <w:rPr>
          <w:rFonts w:hint="eastAsia" w:asciiTheme="minorEastAsia" w:hAnsiTheme="minorEastAsia" w:eastAsiaTheme="minorEastAsia" w:cstheme="minorEastAsia"/>
          <w:snapToGrid w:val="0"/>
          <w:kern w:val="0"/>
          <w:szCs w:val="21"/>
          <w:lang w:val="zh-CN"/>
        </w:rPr>
        <w:t>磋商保证金</w:t>
      </w:r>
      <w:r>
        <w:tab/>
      </w:r>
      <w:r>
        <w:fldChar w:fldCharType="end"/>
      </w:r>
    </w:p>
    <w:p>
      <w:pPr>
        <w:pStyle w:val="22"/>
        <w:tabs>
          <w:tab w:val="right" w:leader="dot" w:pos="9072"/>
        </w:tabs>
      </w:pPr>
      <w:r>
        <w:fldChar w:fldCharType="begin"/>
      </w:r>
      <w:r>
        <w:instrText xml:space="preserve"> HYPERLINK \l "_Toc16160" </w:instrText>
      </w:r>
      <w:r>
        <w:fldChar w:fldCharType="separate"/>
      </w:r>
      <w:r>
        <w:rPr>
          <w:rFonts w:asciiTheme="minorEastAsia" w:hAnsiTheme="minorEastAsia" w:eastAsiaTheme="minorEastAsia" w:cstheme="minorEastAsia"/>
          <w:snapToGrid w:val="0"/>
          <w:kern w:val="0"/>
          <w:szCs w:val="21"/>
          <w:lang w:val="zh-CN"/>
        </w:rPr>
        <w:t xml:space="preserve">17、 </w:t>
      </w:r>
      <w:r>
        <w:rPr>
          <w:rFonts w:hint="eastAsia" w:asciiTheme="minorEastAsia" w:hAnsiTheme="minorEastAsia" w:eastAsiaTheme="minorEastAsia" w:cstheme="minorEastAsia"/>
          <w:snapToGrid w:val="0"/>
          <w:kern w:val="0"/>
          <w:szCs w:val="21"/>
          <w:lang w:val="zh-CN"/>
        </w:rPr>
        <w:t>磋商有效期</w:t>
      </w:r>
      <w:r>
        <w:tab/>
      </w:r>
      <w:r>
        <w:fldChar w:fldCharType="end"/>
      </w:r>
    </w:p>
    <w:p>
      <w:pPr>
        <w:pStyle w:val="22"/>
        <w:tabs>
          <w:tab w:val="right" w:leader="dot" w:pos="9072"/>
        </w:tabs>
      </w:pPr>
      <w:r>
        <w:fldChar w:fldCharType="begin"/>
      </w:r>
      <w:r>
        <w:instrText xml:space="preserve"> HYPERLINK \l "_Toc23072" </w:instrText>
      </w:r>
      <w:r>
        <w:fldChar w:fldCharType="separate"/>
      </w:r>
      <w:r>
        <w:rPr>
          <w:rFonts w:asciiTheme="minorEastAsia" w:hAnsiTheme="minorEastAsia" w:eastAsiaTheme="minorEastAsia" w:cstheme="minorEastAsia"/>
          <w:snapToGrid w:val="0"/>
          <w:kern w:val="0"/>
          <w:szCs w:val="21"/>
          <w:lang w:val="zh-CN"/>
        </w:rPr>
        <w:t xml:space="preserve">18、 </w:t>
      </w:r>
      <w:r>
        <w:rPr>
          <w:rFonts w:hint="eastAsia" w:asciiTheme="minorEastAsia" w:hAnsiTheme="minorEastAsia" w:eastAsiaTheme="minorEastAsia" w:cstheme="minorEastAsia"/>
          <w:snapToGrid w:val="0"/>
          <w:kern w:val="0"/>
          <w:szCs w:val="21"/>
          <w:lang w:val="zh-CN"/>
        </w:rPr>
        <w:t>竞争性磋商响应文件的装订、签署和数量</w:t>
      </w:r>
      <w:r>
        <w:tab/>
      </w:r>
      <w:r>
        <w:fldChar w:fldCharType="end"/>
      </w:r>
    </w:p>
    <w:p>
      <w:pPr>
        <w:pStyle w:val="22"/>
        <w:tabs>
          <w:tab w:val="right" w:leader="dot" w:pos="9072"/>
        </w:tabs>
      </w:pPr>
      <w:r>
        <w:fldChar w:fldCharType="begin"/>
      </w:r>
      <w:r>
        <w:instrText xml:space="preserve"> HYPERLINK \l "_Toc18873" </w:instrText>
      </w:r>
      <w:r>
        <w:fldChar w:fldCharType="separate"/>
      </w:r>
      <w:r>
        <w:rPr>
          <w:rFonts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rPr>
        <w:t>竞争性磋商响应文件的递交</w:t>
      </w:r>
      <w:r>
        <w:tab/>
      </w:r>
      <w:r>
        <w:fldChar w:fldCharType="end"/>
      </w:r>
    </w:p>
    <w:p>
      <w:pPr>
        <w:pStyle w:val="22"/>
        <w:tabs>
          <w:tab w:val="right" w:leader="dot" w:pos="9072"/>
        </w:tabs>
      </w:pPr>
      <w:r>
        <w:fldChar w:fldCharType="begin"/>
      </w:r>
      <w:r>
        <w:instrText xml:space="preserve"> HYPERLINK \l "_Toc25872" </w:instrText>
      </w:r>
      <w:r>
        <w:fldChar w:fldCharType="separate"/>
      </w:r>
      <w:r>
        <w:rPr>
          <w:rFonts w:asciiTheme="minorEastAsia" w:hAnsiTheme="minorEastAsia" w:eastAsiaTheme="minorEastAsia" w:cstheme="minorEastAsia"/>
          <w:snapToGrid w:val="0"/>
          <w:kern w:val="0"/>
          <w:szCs w:val="21"/>
          <w:lang w:val="zh-CN"/>
        </w:rPr>
        <w:t xml:space="preserve">19、 </w:t>
      </w:r>
      <w:r>
        <w:rPr>
          <w:rFonts w:hint="eastAsia" w:asciiTheme="minorEastAsia" w:hAnsiTheme="minorEastAsia" w:eastAsiaTheme="minorEastAsia" w:cstheme="minorEastAsia"/>
          <w:szCs w:val="21"/>
        </w:rPr>
        <w:t>竞争性磋商响应文件</w:t>
      </w:r>
      <w:r>
        <w:rPr>
          <w:rFonts w:hint="eastAsia" w:asciiTheme="minorEastAsia" w:hAnsiTheme="minorEastAsia" w:eastAsiaTheme="minorEastAsia" w:cstheme="minorEastAsia"/>
          <w:snapToGrid w:val="0"/>
          <w:kern w:val="0"/>
          <w:szCs w:val="21"/>
          <w:lang w:val="zh-CN"/>
        </w:rPr>
        <w:t>的密封和标记</w:t>
      </w:r>
      <w:r>
        <w:tab/>
      </w:r>
      <w:r>
        <w:fldChar w:fldCharType="end"/>
      </w:r>
    </w:p>
    <w:p>
      <w:pPr>
        <w:pStyle w:val="22"/>
        <w:tabs>
          <w:tab w:val="right" w:leader="dot" w:pos="9072"/>
        </w:tabs>
      </w:pPr>
      <w:r>
        <w:fldChar w:fldCharType="begin"/>
      </w:r>
      <w:r>
        <w:instrText xml:space="preserve"> HYPERLINK \l "_Toc4310" </w:instrText>
      </w:r>
      <w:r>
        <w:fldChar w:fldCharType="separate"/>
      </w:r>
      <w:r>
        <w:rPr>
          <w:rFonts w:asciiTheme="minorEastAsia" w:hAnsiTheme="minorEastAsia" w:eastAsiaTheme="minorEastAsia" w:cstheme="minorEastAsia"/>
          <w:snapToGrid w:val="0"/>
          <w:kern w:val="0"/>
          <w:szCs w:val="21"/>
          <w:lang w:val="zh-CN"/>
        </w:rPr>
        <w:t xml:space="preserve">20、 </w:t>
      </w:r>
      <w:r>
        <w:rPr>
          <w:rFonts w:hint="eastAsia" w:asciiTheme="minorEastAsia" w:hAnsiTheme="minorEastAsia" w:eastAsiaTheme="minorEastAsia" w:cstheme="minorEastAsia"/>
          <w:snapToGrid w:val="0"/>
          <w:kern w:val="0"/>
          <w:szCs w:val="21"/>
          <w:lang w:val="zh-CN"/>
        </w:rPr>
        <w:t>竞争性磋商响应文件的送达地点及截止时间</w:t>
      </w:r>
      <w:r>
        <w:tab/>
      </w:r>
      <w:r>
        <w:fldChar w:fldCharType="end"/>
      </w:r>
    </w:p>
    <w:p>
      <w:pPr>
        <w:pStyle w:val="22"/>
        <w:tabs>
          <w:tab w:val="right" w:leader="dot" w:pos="9072"/>
        </w:tabs>
      </w:pPr>
      <w:r>
        <w:fldChar w:fldCharType="begin"/>
      </w:r>
      <w:r>
        <w:instrText xml:space="preserve"> HYPERLINK \l "_Toc8080" </w:instrText>
      </w:r>
      <w:r>
        <w:fldChar w:fldCharType="separate"/>
      </w:r>
      <w:r>
        <w:rPr>
          <w:rFonts w:asciiTheme="minorEastAsia" w:hAnsiTheme="minorEastAsia" w:eastAsiaTheme="minorEastAsia" w:cstheme="minorEastAsia"/>
          <w:snapToGrid w:val="0"/>
          <w:kern w:val="0"/>
          <w:szCs w:val="21"/>
          <w:lang w:val="zh-CN"/>
        </w:rPr>
        <w:t xml:space="preserve">21、 </w:t>
      </w:r>
      <w:r>
        <w:rPr>
          <w:rFonts w:hint="eastAsia" w:asciiTheme="minorEastAsia" w:hAnsiTheme="minorEastAsia" w:eastAsiaTheme="minorEastAsia" w:cstheme="minorEastAsia"/>
          <w:snapToGrid w:val="0"/>
          <w:kern w:val="0"/>
          <w:szCs w:val="21"/>
          <w:lang w:val="zh-CN"/>
        </w:rPr>
        <w:t>迟交的竞争性磋商响应文件</w:t>
      </w:r>
      <w:r>
        <w:tab/>
      </w:r>
      <w:r>
        <w:fldChar w:fldCharType="end"/>
      </w:r>
    </w:p>
    <w:p>
      <w:pPr>
        <w:pStyle w:val="22"/>
        <w:tabs>
          <w:tab w:val="right" w:leader="dot" w:pos="9072"/>
        </w:tabs>
      </w:pPr>
      <w:r>
        <w:fldChar w:fldCharType="begin"/>
      </w:r>
      <w:r>
        <w:instrText xml:space="preserve"> HYPERLINK \l "_Toc23279" </w:instrText>
      </w:r>
      <w:r>
        <w:fldChar w:fldCharType="separate"/>
      </w:r>
      <w:r>
        <w:rPr>
          <w:rFonts w:asciiTheme="minorEastAsia" w:hAnsiTheme="minorEastAsia" w:eastAsiaTheme="minorEastAsia" w:cstheme="minorEastAsia"/>
          <w:snapToGrid w:val="0"/>
          <w:kern w:val="0"/>
          <w:szCs w:val="21"/>
          <w:lang w:val="zh-CN"/>
        </w:rPr>
        <w:t xml:space="preserve">22、 </w:t>
      </w:r>
      <w:r>
        <w:rPr>
          <w:rFonts w:hint="eastAsia" w:asciiTheme="minorEastAsia" w:hAnsiTheme="minorEastAsia" w:eastAsiaTheme="minorEastAsia" w:cstheme="minorEastAsia"/>
          <w:snapToGrid w:val="0"/>
          <w:kern w:val="0"/>
          <w:szCs w:val="21"/>
          <w:lang w:val="zh-CN"/>
        </w:rPr>
        <w:t>竞争性磋商响应文件的补充、修改或者撤回</w:t>
      </w:r>
      <w:r>
        <w:tab/>
      </w:r>
      <w:r>
        <w:fldChar w:fldCharType="end"/>
      </w:r>
    </w:p>
    <w:p>
      <w:pPr>
        <w:pStyle w:val="22"/>
        <w:tabs>
          <w:tab w:val="right" w:leader="dot" w:pos="9072"/>
        </w:tabs>
      </w:pPr>
      <w:r>
        <w:fldChar w:fldCharType="begin"/>
      </w:r>
      <w:r>
        <w:instrText xml:space="preserve"> HYPERLINK \l "_Toc22812" </w:instrText>
      </w:r>
      <w:r>
        <w:fldChar w:fldCharType="separate"/>
      </w:r>
      <w:r>
        <w:rPr>
          <w:rFonts w:asciiTheme="minorEastAsia" w:hAnsiTheme="minorEastAsia" w:eastAsiaTheme="minorEastAsia" w:cstheme="minorEastAsia"/>
          <w:szCs w:val="21"/>
        </w:rPr>
        <w:t xml:space="preserve">五、 </w:t>
      </w:r>
      <w:r>
        <w:rPr>
          <w:rFonts w:hint="eastAsia" w:asciiTheme="minorEastAsia" w:hAnsiTheme="minorEastAsia" w:eastAsiaTheme="minorEastAsia" w:cstheme="minorEastAsia"/>
          <w:szCs w:val="21"/>
        </w:rPr>
        <w:t>磋商程序及步骤</w:t>
      </w:r>
      <w:r>
        <w:tab/>
      </w:r>
      <w:r>
        <w:fldChar w:fldCharType="end"/>
      </w:r>
    </w:p>
    <w:p>
      <w:pPr>
        <w:pStyle w:val="22"/>
        <w:tabs>
          <w:tab w:val="right" w:leader="dot" w:pos="9072"/>
        </w:tabs>
      </w:pPr>
      <w:r>
        <w:fldChar w:fldCharType="begin"/>
      </w:r>
      <w:r>
        <w:instrText xml:space="preserve"> HYPERLINK \l "_Toc22761" </w:instrText>
      </w:r>
      <w:r>
        <w:fldChar w:fldCharType="separate"/>
      </w:r>
      <w:r>
        <w:rPr>
          <w:rFonts w:asciiTheme="minorEastAsia" w:hAnsiTheme="minorEastAsia" w:eastAsiaTheme="minorEastAsia" w:cstheme="minorEastAsia"/>
          <w:snapToGrid w:val="0"/>
          <w:kern w:val="0"/>
          <w:szCs w:val="21"/>
          <w:lang w:val="zh-CN"/>
        </w:rPr>
        <w:t xml:space="preserve">23、 </w:t>
      </w:r>
      <w:r>
        <w:rPr>
          <w:rFonts w:hint="eastAsia" w:asciiTheme="minorEastAsia" w:hAnsiTheme="minorEastAsia" w:eastAsiaTheme="minorEastAsia" w:cstheme="minorEastAsia"/>
        </w:rPr>
        <w:t>竞争性磋商小组</w:t>
      </w:r>
      <w:r>
        <w:tab/>
      </w:r>
      <w:r>
        <w:fldChar w:fldCharType="end"/>
      </w:r>
    </w:p>
    <w:p>
      <w:pPr>
        <w:pStyle w:val="22"/>
        <w:tabs>
          <w:tab w:val="right" w:leader="dot" w:pos="9072"/>
        </w:tabs>
      </w:pPr>
      <w:r>
        <w:fldChar w:fldCharType="begin"/>
      </w:r>
      <w:r>
        <w:instrText xml:space="preserve"> HYPERLINK \l "_Toc2293" </w:instrText>
      </w:r>
      <w:r>
        <w:fldChar w:fldCharType="separate"/>
      </w:r>
      <w:r>
        <w:rPr>
          <w:rFonts w:asciiTheme="minorEastAsia" w:hAnsiTheme="minorEastAsia" w:eastAsiaTheme="minorEastAsia" w:cstheme="minorEastAsia"/>
          <w:snapToGrid w:val="0"/>
          <w:kern w:val="0"/>
          <w:szCs w:val="21"/>
          <w:lang w:val="zh-CN"/>
        </w:rPr>
        <w:t xml:space="preserve">24、 </w:t>
      </w:r>
      <w:r>
        <w:rPr>
          <w:rFonts w:hint="eastAsia" w:asciiTheme="minorEastAsia" w:hAnsiTheme="minorEastAsia" w:eastAsiaTheme="minorEastAsia" w:cstheme="minorEastAsia"/>
        </w:rPr>
        <w:t>磋商代表</w:t>
      </w:r>
      <w:r>
        <w:tab/>
      </w:r>
      <w:r>
        <w:fldChar w:fldCharType="end"/>
      </w:r>
    </w:p>
    <w:p>
      <w:pPr>
        <w:pStyle w:val="22"/>
        <w:tabs>
          <w:tab w:val="right" w:leader="dot" w:pos="9072"/>
        </w:tabs>
      </w:pPr>
      <w:r>
        <w:fldChar w:fldCharType="begin"/>
      </w:r>
      <w:r>
        <w:instrText xml:space="preserve"> HYPERLINK \l "_Toc20268" </w:instrText>
      </w:r>
      <w:r>
        <w:fldChar w:fldCharType="separate"/>
      </w:r>
      <w:r>
        <w:rPr>
          <w:rFonts w:asciiTheme="minorEastAsia" w:hAnsiTheme="minorEastAsia" w:eastAsiaTheme="minorEastAsia" w:cstheme="minorEastAsia"/>
        </w:rPr>
        <w:t xml:space="preserve">25、 </w:t>
      </w:r>
      <w:r>
        <w:rPr>
          <w:rFonts w:hint="eastAsia" w:asciiTheme="minorEastAsia" w:hAnsiTheme="minorEastAsia" w:eastAsiaTheme="minorEastAsia" w:cstheme="minorEastAsia"/>
        </w:rPr>
        <w:t>资格审查和符合性审查</w:t>
      </w:r>
      <w:r>
        <w:tab/>
      </w:r>
      <w:r>
        <w:fldChar w:fldCharType="end"/>
      </w:r>
    </w:p>
    <w:p>
      <w:pPr>
        <w:pStyle w:val="22"/>
        <w:tabs>
          <w:tab w:val="right" w:leader="dot" w:pos="9072"/>
        </w:tabs>
      </w:pPr>
      <w:r>
        <w:fldChar w:fldCharType="begin"/>
      </w:r>
      <w:r>
        <w:instrText xml:space="preserve"> HYPERLINK \l "_Toc2914" </w:instrText>
      </w:r>
      <w:r>
        <w:fldChar w:fldCharType="separate"/>
      </w:r>
      <w:r>
        <w:rPr>
          <w:rFonts w:asciiTheme="minorEastAsia" w:hAnsiTheme="minorEastAsia" w:eastAsiaTheme="minorEastAsia" w:cstheme="minorEastAsia"/>
        </w:rPr>
        <w:t xml:space="preserve">26、 </w:t>
      </w:r>
      <w:r>
        <w:rPr>
          <w:rFonts w:hint="eastAsia" w:asciiTheme="minorEastAsia" w:hAnsiTheme="minorEastAsia" w:eastAsiaTheme="minorEastAsia" w:cstheme="minorEastAsia"/>
        </w:rPr>
        <w:t>磋商</w:t>
      </w:r>
      <w:r>
        <w:tab/>
      </w:r>
      <w:r>
        <w:fldChar w:fldCharType="end"/>
      </w:r>
    </w:p>
    <w:p>
      <w:pPr>
        <w:pStyle w:val="22"/>
        <w:tabs>
          <w:tab w:val="right" w:leader="dot" w:pos="9072"/>
        </w:tabs>
      </w:pPr>
      <w:r>
        <w:fldChar w:fldCharType="begin"/>
      </w:r>
      <w:r>
        <w:instrText xml:space="preserve"> HYPERLINK \l "_Toc13402" </w:instrText>
      </w:r>
      <w:r>
        <w:fldChar w:fldCharType="separate"/>
      </w:r>
      <w:r>
        <w:rPr>
          <w:rFonts w:asciiTheme="minorEastAsia" w:hAnsiTheme="minorEastAsia" w:eastAsiaTheme="minorEastAsia" w:cstheme="minorEastAsia"/>
          <w:lang w:val="zh-CN"/>
        </w:rPr>
        <w:t xml:space="preserve">27、 </w:t>
      </w:r>
      <w:r>
        <w:rPr>
          <w:rFonts w:hint="eastAsia" w:asciiTheme="minorEastAsia" w:hAnsiTheme="minorEastAsia" w:eastAsiaTheme="minorEastAsia" w:cstheme="minorEastAsia"/>
          <w:lang w:val="zh-CN"/>
        </w:rPr>
        <w:t>保密</w:t>
      </w:r>
      <w:r>
        <w:tab/>
      </w:r>
      <w:r>
        <w:fldChar w:fldCharType="end"/>
      </w:r>
    </w:p>
    <w:p>
      <w:pPr>
        <w:pStyle w:val="22"/>
        <w:tabs>
          <w:tab w:val="right" w:leader="dot" w:pos="9072"/>
        </w:tabs>
      </w:pPr>
      <w:r>
        <w:fldChar w:fldCharType="begin"/>
      </w:r>
      <w:r>
        <w:instrText xml:space="preserve"> HYPERLINK \l "_Toc16918" </w:instrText>
      </w:r>
      <w:r>
        <w:fldChar w:fldCharType="separate"/>
      </w:r>
      <w:r>
        <w:rPr>
          <w:rFonts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rPr>
        <w:t>成交与签订合同</w:t>
      </w:r>
      <w:r>
        <w:tab/>
      </w:r>
      <w:r>
        <w:fldChar w:fldCharType="end"/>
      </w:r>
    </w:p>
    <w:p>
      <w:pPr>
        <w:pStyle w:val="22"/>
        <w:tabs>
          <w:tab w:val="right" w:leader="dot" w:pos="9072"/>
        </w:tabs>
      </w:pPr>
      <w:r>
        <w:fldChar w:fldCharType="begin"/>
      </w:r>
      <w:r>
        <w:instrText xml:space="preserve"> HYPERLINK \l "_Toc23208" </w:instrText>
      </w:r>
      <w:r>
        <w:fldChar w:fldCharType="separate"/>
      </w:r>
      <w:r>
        <w:rPr>
          <w:rFonts w:asciiTheme="minorEastAsia" w:hAnsiTheme="minorEastAsia" w:eastAsiaTheme="minorEastAsia" w:cstheme="minorEastAsia"/>
          <w:lang w:val="zh-CN"/>
        </w:rPr>
        <w:t xml:space="preserve">28、 </w:t>
      </w:r>
      <w:r>
        <w:rPr>
          <w:rFonts w:hint="eastAsia" w:asciiTheme="minorEastAsia" w:hAnsiTheme="minorEastAsia" w:eastAsiaTheme="minorEastAsia" w:cstheme="minorEastAsia"/>
          <w:lang w:val="zh-CN"/>
        </w:rPr>
        <w:t>合同授予标准</w:t>
      </w:r>
      <w:r>
        <w:tab/>
      </w:r>
      <w:r>
        <w:fldChar w:fldCharType="end"/>
      </w:r>
    </w:p>
    <w:p>
      <w:pPr>
        <w:pStyle w:val="22"/>
        <w:tabs>
          <w:tab w:val="right" w:leader="dot" w:pos="9072"/>
        </w:tabs>
      </w:pPr>
      <w:r>
        <w:fldChar w:fldCharType="begin"/>
      </w:r>
      <w:r>
        <w:instrText xml:space="preserve"> HYPERLINK \l "_Toc30864" </w:instrText>
      </w:r>
      <w:r>
        <w:fldChar w:fldCharType="separate"/>
      </w:r>
      <w:r>
        <w:rPr>
          <w:rFonts w:asciiTheme="minorEastAsia" w:hAnsiTheme="minorEastAsia" w:eastAsiaTheme="minorEastAsia" w:cstheme="minorEastAsia"/>
          <w:lang w:val="zh-CN"/>
        </w:rPr>
        <w:t xml:space="preserve">29、 </w:t>
      </w:r>
      <w:r>
        <w:rPr>
          <w:rFonts w:hint="eastAsia" w:asciiTheme="minorEastAsia" w:hAnsiTheme="minorEastAsia" w:eastAsiaTheme="minorEastAsia" w:cstheme="minorEastAsia"/>
          <w:lang w:val="zh-CN"/>
        </w:rPr>
        <w:t>签订合同</w:t>
      </w:r>
      <w:r>
        <w:tab/>
      </w:r>
      <w:r>
        <w:fldChar w:fldCharType="end"/>
      </w:r>
    </w:p>
    <w:p>
      <w:pPr>
        <w:pStyle w:val="22"/>
        <w:tabs>
          <w:tab w:val="right" w:leader="dot" w:pos="9072"/>
        </w:tabs>
      </w:pPr>
      <w:r>
        <w:fldChar w:fldCharType="begin"/>
      </w:r>
      <w:r>
        <w:instrText xml:space="preserve"> HYPERLINK \l "_Toc8497" </w:instrText>
      </w:r>
      <w:r>
        <w:fldChar w:fldCharType="separate"/>
      </w:r>
      <w:r>
        <w:rPr>
          <w:rFonts w:asciiTheme="minorEastAsia" w:hAnsiTheme="minorEastAsia" w:eastAsiaTheme="minorEastAsia" w:cstheme="minorEastAsia"/>
          <w:szCs w:val="21"/>
          <w:lang w:val="zh-CN"/>
        </w:rPr>
        <w:t xml:space="preserve">七、 </w:t>
      </w:r>
      <w:r>
        <w:rPr>
          <w:rFonts w:hint="eastAsia" w:asciiTheme="minorEastAsia" w:hAnsiTheme="minorEastAsia" w:eastAsiaTheme="minorEastAsia" w:cstheme="minorEastAsia"/>
          <w:szCs w:val="21"/>
          <w:lang w:val="zh-CN"/>
        </w:rPr>
        <w:t>质疑和投诉</w:t>
      </w:r>
      <w:r>
        <w:tab/>
      </w:r>
      <w:r>
        <w:fldChar w:fldCharType="end"/>
      </w:r>
    </w:p>
    <w:p>
      <w:pPr>
        <w:pStyle w:val="22"/>
        <w:tabs>
          <w:tab w:val="right" w:leader="dot" w:pos="9072"/>
        </w:tabs>
      </w:pPr>
      <w:r>
        <w:fldChar w:fldCharType="begin"/>
      </w:r>
      <w:r>
        <w:instrText xml:space="preserve"> HYPERLINK \l "_Toc13489" </w:instrText>
      </w:r>
      <w:r>
        <w:fldChar w:fldCharType="separate"/>
      </w:r>
      <w:r>
        <w:rPr>
          <w:rFonts w:asciiTheme="minorEastAsia" w:hAnsiTheme="minorEastAsia" w:eastAsiaTheme="minorEastAsia" w:cstheme="minorEastAsia"/>
          <w:lang w:val="zh-CN"/>
        </w:rPr>
        <w:t xml:space="preserve">30、 </w:t>
      </w:r>
      <w:r>
        <w:rPr>
          <w:rFonts w:hint="eastAsia" w:asciiTheme="minorEastAsia" w:hAnsiTheme="minorEastAsia" w:eastAsiaTheme="minorEastAsia" w:cstheme="minorEastAsia"/>
          <w:lang w:val="zh-CN"/>
        </w:rPr>
        <w:t>质疑</w:t>
      </w:r>
      <w:r>
        <w:tab/>
      </w:r>
      <w:r>
        <w:fldChar w:fldCharType="end"/>
      </w:r>
    </w:p>
    <w:p>
      <w:pPr>
        <w:pStyle w:val="22"/>
        <w:tabs>
          <w:tab w:val="right" w:leader="dot" w:pos="9072"/>
        </w:tabs>
      </w:pPr>
      <w:r>
        <w:fldChar w:fldCharType="begin"/>
      </w:r>
      <w:r>
        <w:instrText xml:space="preserve"> HYPERLINK \l "_Toc21693" </w:instrText>
      </w:r>
      <w:r>
        <w:fldChar w:fldCharType="separate"/>
      </w:r>
      <w:r>
        <w:rPr>
          <w:rFonts w:asciiTheme="minorEastAsia" w:hAnsiTheme="minorEastAsia" w:eastAsiaTheme="minorEastAsia" w:cstheme="minorEastAsia"/>
          <w:lang w:val="zh-CN"/>
        </w:rPr>
        <w:t xml:space="preserve">31、 </w:t>
      </w:r>
      <w:r>
        <w:rPr>
          <w:rFonts w:hint="eastAsia" w:asciiTheme="minorEastAsia" w:hAnsiTheme="minorEastAsia" w:eastAsiaTheme="minorEastAsia" w:cstheme="minorEastAsia"/>
          <w:lang w:val="zh-CN"/>
        </w:rPr>
        <w:t>质疑回复</w:t>
      </w:r>
      <w:r>
        <w:tab/>
      </w:r>
      <w:r>
        <w:fldChar w:fldCharType="end"/>
      </w:r>
    </w:p>
    <w:p>
      <w:pPr>
        <w:pStyle w:val="22"/>
        <w:tabs>
          <w:tab w:val="right" w:leader="dot" w:pos="9072"/>
        </w:tabs>
      </w:pPr>
      <w:r>
        <w:fldChar w:fldCharType="begin"/>
      </w:r>
      <w:r>
        <w:instrText xml:space="preserve"> HYPERLINK \l "_Toc7393" </w:instrText>
      </w:r>
      <w:r>
        <w:fldChar w:fldCharType="separate"/>
      </w:r>
      <w:r>
        <w:rPr>
          <w:rFonts w:asciiTheme="minorEastAsia" w:hAnsiTheme="minorEastAsia" w:eastAsiaTheme="minorEastAsia" w:cstheme="minorEastAsia"/>
          <w:lang w:val="zh-CN"/>
        </w:rPr>
        <w:t xml:space="preserve">32、 </w:t>
      </w:r>
      <w:r>
        <w:rPr>
          <w:rFonts w:hint="eastAsia" w:asciiTheme="minorEastAsia" w:hAnsiTheme="minorEastAsia" w:eastAsiaTheme="minorEastAsia" w:cstheme="minorEastAsia"/>
          <w:lang w:val="zh-CN"/>
        </w:rPr>
        <w:t>投诉</w:t>
      </w:r>
      <w:r>
        <w:tab/>
      </w:r>
      <w:r>
        <w:fldChar w:fldCharType="end"/>
      </w:r>
    </w:p>
    <w:p>
      <w:pPr>
        <w:pStyle w:val="22"/>
        <w:tabs>
          <w:tab w:val="right" w:leader="dot" w:pos="9072"/>
        </w:tabs>
      </w:pPr>
      <w:r>
        <w:fldChar w:fldCharType="begin"/>
      </w:r>
      <w:r>
        <w:instrText xml:space="preserve"> HYPERLINK \l "_Toc25547" </w:instrText>
      </w:r>
      <w:r>
        <w:fldChar w:fldCharType="separate"/>
      </w:r>
      <w:r>
        <w:rPr>
          <w:rFonts w:asciiTheme="minorEastAsia" w:hAnsiTheme="minorEastAsia" w:eastAsiaTheme="minorEastAsia" w:cstheme="minorEastAsia"/>
          <w:szCs w:val="21"/>
          <w:lang w:val="zh-CN"/>
        </w:rPr>
        <w:t xml:space="preserve">八、 </w:t>
      </w:r>
      <w:r>
        <w:rPr>
          <w:rFonts w:hint="eastAsia" w:asciiTheme="minorEastAsia" w:hAnsiTheme="minorEastAsia" w:eastAsiaTheme="minorEastAsia" w:cstheme="minorEastAsia"/>
          <w:szCs w:val="21"/>
          <w:lang w:val="zh-CN"/>
        </w:rPr>
        <w:t>政策</w:t>
      </w:r>
      <w:r>
        <w:tab/>
      </w:r>
      <w:r>
        <w:fldChar w:fldCharType="end"/>
      </w:r>
    </w:p>
    <w:p>
      <w:pPr>
        <w:pStyle w:val="22"/>
        <w:tabs>
          <w:tab w:val="right" w:leader="dot" w:pos="9072"/>
        </w:tabs>
      </w:pPr>
      <w:r>
        <w:fldChar w:fldCharType="begin"/>
      </w:r>
      <w:r>
        <w:instrText xml:space="preserve"> HYPERLINK \l "_Toc10360" </w:instrText>
      </w:r>
      <w:r>
        <w:fldChar w:fldCharType="separate"/>
      </w:r>
      <w:r>
        <w:rPr>
          <w:rFonts w:asciiTheme="minorEastAsia" w:hAnsiTheme="minorEastAsia" w:eastAsiaTheme="minorEastAsia" w:cstheme="minorEastAsia"/>
        </w:rPr>
        <w:t xml:space="preserve">33、 </w:t>
      </w:r>
      <w:r>
        <w:rPr>
          <w:rFonts w:hint="eastAsia" w:asciiTheme="minorEastAsia" w:hAnsiTheme="minorEastAsia" w:eastAsiaTheme="minorEastAsia" w:cstheme="minorEastAsia"/>
        </w:rPr>
        <w:t>政府采购政策</w:t>
      </w:r>
      <w:r>
        <w:tab/>
      </w:r>
      <w:r>
        <w:fldChar w:fldCharType="end"/>
      </w:r>
    </w:p>
    <w:p>
      <w:pPr>
        <w:pStyle w:val="22"/>
        <w:tabs>
          <w:tab w:val="right" w:leader="dot" w:pos="9072"/>
        </w:tabs>
      </w:pPr>
      <w:r>
        <w:fldChar w:fldCharType="begin"/>
      </w:r>
      <w:r>
        <w:instrText xml:space="preserve"> HYPERLINK \l "_Toc26595" </w:instrText>
      </w:r>
      <w:r>
        <w:fldChar w:fldCharType="separate"/>
      </w:r>
      <w:r>
        <w:rPr>
          <w:rFonts w:asciiTheme="minorEastAsia" w:hAnsiTheme="minorEastAsia" w:eastAsiaTheme="minorEastAsia" w:cstheme="minorEastAsia"/>
          <w:szCs w:val="21"/>
          <w:lang w:val="zh-CN"/>
        </w:rPr>
        <w:t xml:space="preserve">九、 </w:t>
      </w:r>
      <w:r>
        <w:rPr>
          <w:rFonts w:hint="eastAsia" w:asciiTheme="minorEastAsia" w:hAnsiTheme="minorEastAsia" w:eastAsiaTheme="minorEastAsia" w:cstheme="minorEastAsia"/>
          <w:szCs w:val="21"/>
          <w:lang w:val="zh-CN"/>
        </w:rPr>
        <w:t>其他要求</w:t>
      </w:r>
      <w:r>
        <w:tab/>
      </w:r>
      <w:r>
        <w:fldChar w:fldCharType="end"/>
      </w:r>
    </w:p>
    <w:p>
      <w:pPr>
        <w:pStyle w:val="22"/>
        <w:tabs>
          <w:tab w:val="right" w:leader="dot" w:pos="9072"/>
        </w:tabs>
      </w:pPr>
      <w:r>
        <w:fldChar w:fldCharType="begin"/>
      </w:r>
      <w:r>
        <w:instrText xml:space="preserve"> HYPERLINK \l "_Toc13377" </w:instrText>
      </w:r>
      <w:r>
        <w:fldChar w:fldCharType="separate"/>
      </w:r>
      <w:r>
        <w:rPr>
          <w:rFonts w:asciiTheme="minorEastAsia" w:hAnsiTheme="minorEastAsia" w:eastAsiaTheme="minorEastAsia" w:cstheme="minorEastAsia"/>
          <w:szCs w:val="21"/>
          <w:lang w:val="zh-CN"/>
        </w:rPr>
        <w:t xml:space="preserve">十、 </w:t>
      </w:r>
      <w:r>
        <w:rPr>
          <w:rFonts w:hint="eastAsia" w:asciiTheme="minorEastAsia" w:hAnsiTheme="minorEastAsia" w:eastAsiaTheme="minorEastAsia" w:cstheme="minorEastAsia"/>
          <w:szCs w:val="21"/>
          <w:lang w:val="zh-CN"/>
        </w:rPr>
        <w:t>适用法律</w:t>
      </w:r>
      <w:r>
        <w:tab/>
      </w:r>
      <w:r>
        <w:fldChar w:fldCharType="end"/>
      </w:r>
    </w:p>
    <w:p>
      <w:pPr>
        <w:pStyle w:val="20"/>
        <w:tabs>
          <w:tab w:val="right" w:leader="dot" w:pos="9072"/>
        </w:tabs>
      </w:pPr>
      <w:r>
        <w:fldChar w:fldCharType="begin"/>
      </w:r>
      <w:r>
        <w:instrText xml:space="preserve"> HYPERLINK \l "_Toc22134" </w:instrText>
      </w:r>
      <w:r>
        <w:fldChar w:fldCharType="separate"/>
      </w:r>
      <w:r>
        <w:rPr>
          <w:rFonts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bCs/>
          <w:szCs w:val="36"/>
        </w:rPr>
        <w:t>采购需求</w:t>
      </w:r>
      <w:r>
        <w:tab/>
      </w:r>
      <w:r>
        <w:fldChar w:fldCharType="end"/>
      </w:r>
    </w:p>
    <w:p>
      <w:pPr>
        <w:pStyle w:val="22"/>
        <w:tabs>
          <w:tab w:val="right" w:leader="dot" w:pos="9072"/>
        </w:tabs>
      </w:pPr>
      <w:r>
        <w:fldChar w:fldCharType="begin"/>
      </w:r>
      <w:r>
        <w:instrText xml:space="preserve"> HYPERLINK \l "_Toc9305" </w:instrText>
      </w:r>
      <w:r>
        <w:fldChar w:fldCharType="separate"/>
      </w:r>
      <w:r>
        <w:rPr>
          <w:rFonts w:hint="eastAsia" w:asciiTheme="minorEastAsia" w:hAnsiTheme="minorEastAsia" w:eastAsiaTheme="minorEastAsia" w:cstheme="minorEastAsia"/>
          <w:bCs/>
        </w:rPr>
        <w:t>一、技术需求</w:t>
      </w:r>
      <w:r>
        <w:tab/>
      </w:r>
      <w:r>
        <w:fldChar w:fldCharType="end"/>
      </w:r>
    </w:p>
    <w:p>
      <w:pPr>
        <w:pStyle w:val="22"/>
        <w:tabs>
          <w:tab w:val="right" w:leader="dot" w:pos="9072"/>
        </w:tabs>
      </w:pPr>
      <w:r>
        <w:fldChar w:fldCharType="begin"/>
      </w:r>
      <w:r>
        <w:instrText xml:space="preserve"> HYPERLINK \l "_Toc32222" </w:instrText>
      </w:r>
      <w:r>
        <w:fldChar w:fldCharType="separate"/>
      </w:r>
      <w:r>
        <w:rPr>
          <w:rFonts w:hint="eastAsia" w:asciiTheme="minorEastAsia" w:hAnsiTheme="minorEastAsia" w:eastAsiaTheme="minorEastAsia" w:cstheme="minorEastAsia"/>
          <w:bCs/>
        </w:rPr>
        <w:t>二、商务需求</w:t>
      </w:r>
      <w:r>
        <w:tab/>
      </w:r>
      <w:r>
        <w:fldChar w:fldCharType="end"/>
      </w:r>
    </w:p>
    <w:p>
      <w:pPr>
        <w:pStyle w:val="20"/>
        <w:tabs>
          <w:tab w:val="right" w:leader="dot" w:pos="9072"/>
        </w:tabs>
      </w:pPr>
      <w:r>
        <w:fldChar w:fldCharType="begin"/>
      </w:r>
      <w:r>
        <w:instrText xml:space="preserve"> HYPERLINK \l "_Toc17842" </w:instrText>
      </w:r>
      <w:r>
        <w:fldChar w:fldCharType="separate"/>
      </w:r>
      <w:r>
        <w:rPr>
          <w:rFonts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rPr>
        <w:t>竞争性磋商采购评定办法</w:t>
      </w:r>
      <w:r>
        <w:tab/>
      </w:r>
      <w:r>
        <w:fldChar w:fldCharType="end"/>
      </w:r>
    </w:p>
    <w:p>
      <w:pPr>
        <w:pStyle w:val="22"/>
        <w:tabs>
          <w:tab w:val="right" w:leader="dot" w:pos="9072"/>
        </w:tabs>
      </w:pPr>
      <w:r>
        <w:fldChar w:fldCharType="begin"/>
      </w:r>
      <w:r>
        <w:instrText xml:space="preserve"> HYPERLINK \l "_Toc22331" </w:instrText>
      </w:r>
      <w:r>
        <w:fldChar w:fldCharType="separate"/>
      </w:r>
      <w:r>
        <w:rPr>
          <w:rFonts w:hint="eastAsia" w:asciiTheme="minorEastAsia" w:hAnsiTheme="minorEastAsia" w:eastAsiaTheme="minorEastAsia" w:cstheme="minorEastAsia"/>
          <w:szCs w:val="21"/>
        </w:rPr>
        <w:t>一、评定办法前附表</w:t>
      </w:r>
      <w:r>
        <w:tab/>
      </w:r>
      <w:r>
        <w:fldChar w:fldCharType="end"/>
      </w:r>
    </w:p>
    <w:p>
      <w:pPr>
        <w:pStyle w:val="22"/>
        <w:tabs>
          <w:tab w:val="right" w:leader="dot" w:pos="9072"/>
        </w:tabs>
      </w:pPr>
      <w:r>
        <w:fldChar w:fldCharType="begin"/>
      </w:r>
      <w:r>
        <w:instrText xml:space="preserve"> HYPERLINK \l "_Toc29954" </w:instrText>
      </w:r>
      <w:r>
        <w:fldChar w:fldCharType="separate"/>
      </w:r>
      <w:r>
        <w:rPr>
          <w:rFonts w:hint="eastAsia" w:asciiTheme="minorEastAsia" w:hAnsiTheme="minorEastAsia" w:eastAsiaTheme="minorEastAsia" w:cstheme="minorEastAsia"/>
          <w:szCs w:val="21"/>
        </w:rPr>
        <w:t>二、计算办法</w:t>
      </w:r>
      <w:r>
        <w:tab/>
      </w:r>
      <w:r>
        <w:fldChar w:fldCharType="end"/>
      </w:r>
    </w:p>
    <w:p>
      <w:pPr>
        <w:pStyle w:val="22"/>
        <w:tabs>
          <w:tab w:val="right" w:leader="dot" w:pos="9072"/>
        </w:tabs>
      </w:pPr>
      <w:r>
        <w:fldChar w:fldCharType="begin"/>
      </w:r>
      <w:r>
        <w:instrText xml:space="preserve"> HYPERLINK \l "_Toc15414" </w:instrText>
      </w:r>
      <w:r>
        <w:fldChar w:fldCharType="separate"/>
      </w:r>
      <w:r>
        <w:rPr>
          <w:rFonts w:hint="eastAsia" w:asciiTheme="minorEastAsia" w:hAnsiTheme="minorEastAsia" w:eastAsiaTheme="minorEastAsia" w:cstheme="minorEastAsia"/>
          <w:szCs w:val="21"/>
        </w:rPr>
        <w:t>三、评分细则</w:t>
      </w:r>
      <w:r>
        <w:tab/>
      </w:r>
      <w:r>
        <w:fldChar w:fldCharType="end"/>
      </w:r>
    </w:p>
    <w:p>
      <w:pPr>
        <w:pStyle w:val="22"/>
        <w:tabs>
          <w:tab w:val="right" w:leader="dot" w:pos="9072"/>
        </w:tabs>
      </w:pPr>
      <w:r>
        <w:fldChar w:fldCharType="begin"/>
      </w:r>
      <w:r>
        <w:instrText xml:space="preserve"> HYPERLINK \l "_Toc32238" </w:instrText>
      </w:r>
      <w:r>
        <w:fldChar w:fldCharType="separate"/>
      </w:r>
      <w:r>
        <w:rPr>
          <w:rFonts w:hint="eastAsia" w:asciiTheme="minorEastAsia" w:hAnsiTheme="minorEastAsia" w:eastAsiaTheme="minorEastAsia" w:cstheme="minorEastAsia"/>
          <w:szCs w:val="21"/>
        </w:rPr>
        <w:t>四、评定办法</w:t>
      </w:r>
      <w:r>
        <w:tab/>
      </w:r>
      <w:r>
        <w:fldChar w:fldCharType="end"/>
      </w:r>
    </w:p>
    <w:p>
      <w:pPr>
        <w:pStyle w:val="22"/>
        <w:tabs>
          <w:tab w:val="right" w:leader="dot" w:pos="9072"/>
        </w:tabs>
      </w:pPr>
      <w:r>
        <w:fldChar w:fldCharType="begin"/>
      </w:r>
      <w:r>
        <w:instrText xml:space="preserve"> HYPERLINK \l "_Toc18427" </w:instrText>
      </w:r>
      <w:r>
        <w:fldChar w:fldCharType="separate"/>
      </w:r>
      <w:r>
        <w:rPr>
          <w:rFonts w:hint="eastAsia" w:asciiTheme="minorEastAsia" w:hAnsiTheme="minorEastAsia" w:eastAsiaTheme="minorEastAsia" w:cstheme="minorEastAsia"/>
          <w:szCs w:val="21"/>
        </w:rPr>
        <w:t>五、磋商及评审步骤</w:t>
      </w:r>
      <w:r>
        <w:tab/>
      </w:r>
      <w:r>
        <w:fldChar w:fldCharType="end"/>
      </w:r>
    </w:p>
    <w:p>
      <w:pPr>
        <w:pStyle w:val="20"/>
        <w:tabs>
          <w:tab w:val="right" w:leader="dot" w:pos="9072"/>
        </w:tabs>
      </w:pPr>
      <w:r>
        <w:fldChar w:fldCharType="begin"/>
      </w:r>
      <w:r>
        <w:instrText xml:space="preserve"> HYPERLINK \l "_Toc31909" </w:instrText>
      </w:r>
      <w:r>
        <w:fldChar w:fldCharType="separate"/>
      </w:r>
      <w:r>
        <w:rPr>
          <w:rFonts w:asciiTheme="minorEastAsia" w:hAnsiTheme="minorEastAsia" w:eastAsiaTheme="minorEastAsia" w:cstheme="minorEastAsia"/>
          <w:kern w:val="0"/>
          <w:szCs w:val="36"/>
        </w:rPr>
        <w:t xml:space="preserve">第五章 </w:t>
      </w:r>
      <w:r>
        <w:rPr>
          <w:rFonts w:hint="eastAsia" w:asciiTheme="minorEastAsia" w:hAnsiTheme="minorEastAsia" w:eastAsiaTheme="minorEastAsia" w:cstheme="minorEastAsia"/>
          <w:szCs w:val="36"/>
        </w:rPr>
        <w:t>合同书格式</w:t>
      </w:r>
      <w:r>
        <w:tab/>
      </w:r>
      <w:r>
        <w:fldChar w:fldCharType="end"/>
      </w:r>
    </w:p>
    <w:p>
      <w:pPr>
        <w:pStyle w:val="20"/>
        <w:tabs>
          <w:tab w:val="right" w:leader="dot" w:pos="9072"/>
        </w:tabs>
      </w:pPr>
      <w:r>
        <w:fldChar w:fldCharType="begin"/>
      </w:r>
      <w:r>
        <w:instrText xml:space="preserve"> HYPERLINK \l "_Toc9448" </w:instrText>
      </w:r>
      <w:r>
        <w:fldChar w:fldCharType="separate"/>
      </w:r>
      <w:r>
        <w:rPr>
          <w:rFonts w:asciiTheme="minorEastAsia" w:hAnsiTheme="minorEastAsia" w:eastAsiaTheme="minorEastAsia" w:cstheme="minorEastAsia"/>
          <w:szCs w:val="36"/>
        </w:rPr>
        <w:t xml:space="preserve">第六章 </w:t>
      </w:r>
      <w:r>
        <w:rPr>
          <w:rFonts w:hint="eastAsia" w:asciiTheme="minorEastAsia" w:hAnsiTheme="minorEastAsia" w:eastAsiaTheme="minorEastAsia" w:cstheme="minorEastAsia"/>
          <w:szCs w:val="36"/>
        </w:rPr>
        <w:t>竞争性磋商响应文件格式</w:t>
      </w:r>
      <w:r>
        <w:tab/>
      </w:r>
      <w:r>
        <w:fldChar w:fldCharType="end"/>
      </w:r>
    </w:p>
    <w:p>
      <w:pPr>
        <w:pStyle w:val="22"/>
        <w:tabs>
          <w:tab w:val="right" w:leader="dot" w:pos="9072"/>
        </w:tabs>
      </w:pPr>
      <w:r>
        <w:fldChar w:fldCharType="begin"/>
      </w:r>
      <w:r>
        <w:instrText xml:space="preserve"> HYPERLINK \l "_Toc7502" </w:instrText>
      </w:r>
      <w:r>
        <w:fldChar w:fldCharType="separate"/>
      </w:r>
      <w:r>
        <w:rPr>
          <w:rFonts w:hint="eastAsia" w:ascii="宋体" w:hAnsi="宋体" w:cs="宋体"/>
          <w:szCs w:val="21"/>
        </w:rPr>
        <w:t>一、评分标准索引表</w:t>
      </w:r>
      <w:r>
        <w:tab/>
      </w:r>
      <w:r>
        <w:fldChar w:fldCharType="end"/>
      </w:r>
    </w:p>
    <w:p>
      <w:pPr>
        <w:pStyle w:val="22"/>
        <w:tabs>
          <w:tab w:val="right" w:leader="dot" w:pos="9072"/>
        </w:tabs>
      </w:pPr>
      <w:r>
        <w:fldChar w:fldCharType="begin"/>
      </w:r>
      <w:r>
        <w:instrText xml:space="preserve"> HYPERLINK \l "_Toc21694" </w:instrText>
      </w:r>
      <w:r>
        <w:fldChar w:fldCharType="separate"/>
      </w:r>
      <w:r>
        <w:rPr>
          <w:rFonts w:hint="eastAsia" w:asciiTheme="minorEastAsia" w:hAnsiTheme="minorEastAsia" w:eastAsiaTheme="minorEastAsia" w:cstheme="minorEastAsia"/>
        </w:rPr>
        <w:t>二、磋商书</w:t>
      </w:r>
      <w:r>
        <w:tab/>
      </w:r>
      <w:r>
        <w:fldChar w:fldCharType="end"/>
      </w:r>
    </w:p>
    <w:p>
      <w:pPr>
        <w:pStyle w:val="22"/>
        <w:tabs>
          <w:tab w:val="right" w:leader="dot" w:pos="9072"/>
        </w:tabs>
      </w:pPr>
      <w:r>
        <w:fldChar w:fldCharType="begin"/>
      </w:r>
      <w:r>
        <w:instrText xml:space="preserve"> HYPERLINK \l "_Toc12280" </w:instrText>
      </w:r>
      <w:r>
        <w:fldChar w:fldCharType="separate"/>
      </w:r>
      <w:r>
        <w:rPr>
          <w:rFonts w:hint="eastAsia" w:asciiTheme="minorEastAsia" w:hAnsiTheme="minorEastAsia" w:eastAsiaTheme="minorEastAsia" w:cstheme="minorEastAsia"/>
        </w:rPr>
        <w:t>三、法定代表人授权书</w:t>
      </w:r>
      <w:r>
        <w:tab/>
      </w:r>
      <w:r>
        <w:fldChar w:fldCharType="end"/>
      </w:r>
    </w:p>
    <w:p>
      <w:pPr>
        <w:pStyle w:val="22"/>
        <w:tabs>
          <w:tab w:val="right" w:leader="dot" w:pos="9072"/>
        </w:tabs>
      </w:pPr>
      <w:r>
        <w:fldChar w:fldCharType="begin"/>
      </w:r>
      <w:r>
        <w:instrText xml:space="preserve"> HYPERLINK \l "_Toc31978" </w:instrText>
      </w:r>
      <w:r>
        <w:fldChar w:fldCharType="separate"/>
      </w:r>
      <w:r>
        <w:rPr>
          <w:rFonts w:hint="eastAsia" w:asciiTheme="minorEastAsia" w:hAnsiTheme="minorEastAsia" w:eastAsiaTheme="minorEastAsia" w:cstheme="minorEastAsia"/>
          <w:bCs/>
          <w:szCs w:val="21"/>
        </w:rPr>
        <w:t>四、报价一览表</w:t>
      </w:r>
      <w:r>
        <w:tab/>
      </w:r>
      <w:r>
        <w:fldChar w:fldCharType="end"/>
      </w:r>
    </w:p>
    <w:p>
      <w:pPr>
        <w:pStyle w:val="22"/>
        <w:tabs>
          <w:tab w:val="right" w:leader="dot" w:pos="9072"/>
        </w:tabs>
      </w:pPr>
      <w:r>
        <w:fldChar w:fldCharType="begin"/>
      </w:r>
      <w:r>
        <w:instrText xml:space="preserve"> HYPERLINK \l "_Toc29767" </w:instrText>
      </w:r>
      <w:r>
        <w:fldChar w:fldCharType="separate"/>
      </w:r>
      <w:r>
        <w:rPr>
          <w:rFonts w:hint="eastAsia" w:asciiTheme="minorEastAsia" w:hAnsiTheme="minorEastAsia" w:eastAsiaTheme="minorEastAsia" w:cstheme="minorEastAsia"/>
          <w:bCs/>
          <w:szCs w:val="21"/>
        </w:rPr>
        <w:t>五、报价费用构成表</w:t>
      </w:r>
      <w:r>
        <w:tab/>
      </w:r>
      <w:r>
        <w:fldChar w:fldCharType="end"/>
      </w:r>
    </w:p>
    <w:p>
      <w:pPr>
        <w:pStyle w:val="22"/>
        <w:tabs>
          <w:tab w:val="right" w:leader="dot" w:pos="9072"/>
        </w:tabs>
      </w:pPr>
      <w:r>
        <w:fldChar w:fldCharType="begin"/>
      </w:r>
      <w:r>
        <w:instrText xml:space="preserve"> HYPERLINK \l "_Toc25729" </w:instrText>
      </w:r>
      <w:r>
        <w:fldChar w:fldCharType="separate"/>
      </w:r>
      <w:r>
        <w:rPr>
          <w:rFonts w:hint="eastAsia" w:asciiTheme="minorEastAsia" w:hAnsiTheme="minorEastAsia" w:eastAsiaTheme="minorEastAsia" w:cstheme="minorEastAsia"/>
          <w:bCs/>
          <w:szCs w:val="21"/>
        </w:rPr>
        <w:t>六、耗材清单（如有）</w:t>
      </w:r>
      <w:r>
        <w:tab/>
      </w:r>
      <w:r>
        <w:fldChar w:fldCharType="end"/>
      </w:r>
    </w:p>
    <w:p>
      <w:pPr>
        <w:pStyle w:val="22"/>
        <w:tabs>
          <w:tab w:val="right" w:leader="dot" w:pos="9072"/>
        </w:tabs>
      </w:pPr>
      <w:r>
        <w:fldChar w:fldCharType="begin"/>
      </w:r>
      <w:r>
        <w:instrText xml:space="preserve"> HYPERLINK \l "_Toc28053" </w:instrText>
      </w:r>
      <w:r>
        <w:fldChar w:fldCharType="separate"/>
      </w:r>
      <w:r>
        <w:rPr>
          <w:rFonts w:hint="eastAsia" w:asciiTheme="minorEastAsia" w:hAnsiTheme="minorEastAsia" w:eastAsiaTheme="minorEastAsia" w:cstheme="minorEastAsia"/>
          <w:bCs/>
          <w:szCs w:val="21"/>
        </w:rPr>
        <w:t>七、拟投入设备/备件、工具情况（如有）</w:t>
      </w:r>
      <w:r>
        <w:tab/>
      </w:r>
      <w:r>
        <w:fldChar w:fldCharType="end"/>
      </w:r>
    </w:p>
    <w:p>
      <w:pPr>
        <w:pStyle w:val="22"/>
        <w:tabs>
          <w:tab w:val="right" w:leader="dot" w:pos="9072"/>
        </w:tabs>
      </w:pPr>
      <w:r>
        <w:fldChar w:fldCharType="begin"/>
      </w:r>
      <w:r>
        <w:instrText xml:space="preserve"> HYPERLINK \l "_Toc28418" </w:instrText>
      </w:r>
      <w:r>
        <w:fldChar w:fldCharType="separate"/>
      </w:r>
      <w:r>
        <w:rPr>
          <w:rFonts w:hint="eastAsia" w:asciiTheme="minorEastAsia" w:hAnsiTheme="minorEastAsia" w:eastAsiaTheme="minorEastAsia" w:cstheme="minorEastAsia"/>
          <w:bCs/>
          <w:szCs w:val="21"/>
        </w:rPr>
        <w:t>八、缴纳保证金的银行凭证（如有）</w:t>
      </w:r>
      <w:r>
        <w:tab/>
      </w:r>
      <w:r>
        <w:fldChar w:fldCharType="end"/>
      </w:r>
    </w:p>
    <w:p>
      <w:pPr>
        <w:pStyle w:val="22"/>
        <w:tabs>
          <w:tab w:val="right" w:leader="dot" w:pos="9072"/>
        </w:tabs>
      </w:pPr>
      <w:r>
        <w:fldChar w:fldCharType="begin"/>
      </w:r>
      <w:r>
        <w:instrText xml:space="preserve"> HYPERLINK \l "_Toc22252" </w:instrText>
      </w:r>
      <w:r>
        <w:fldChar w:fldCharType="separate"/>
      </w:r>
      <w:r>
        <w:rPr>
          <w:rFonts w:hint="eastAsia" w:asciiTheme="minorEastAsia" w:hAnsiTheme="minorEastAsia" w:eastAsiaTheme="minorEastAsia" w:cstheme="minorEastAsia"/>
          <w:bCs/>
          <w:szCs w:val="21"/>
        </w:rPr>
        <w:t>九、偏离说明表</w:t>
      </w:r>
      <w:r>
        <w:tab/>
      </w:r>
      <w:r>
        <w:fldChar w:fldCharType="end"/>
      </w:r>
    </w:p>
    <w:p>
      <w:pPr>
        <w:pStyle w:val="22"/>
        <w:tabs>
          <w:tab w:val="right" w:leader="dot" w:pos="9072"/>
        </w:tabs>
      </w:pPr>
      <w:r>
        <w:fldChar w:fldCharType="begin"/>
      </w:r>
      <w:r>
        <w:instrText xml:space="preserve"> HYPERLINK \l "_Toc21520" </w:instrText>
      </w:r>
      <w:r>
        <w:fldChar w:fldCharType="separate"/>
      </w: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bCs/>
          <w:szCs w:val="21"/>
        </w:rPr>
        <w:t xml:space="preserve">类似业绩一览表 </w:t>
      </w:r>
      <w:r>
        <w:tab/>
      </w:r>
      <w:r>
        <w:fldChar w:fldCharType="end"/>
      </w:r>
    </w:p>
    <w:p>
      <w:pPr>
        <w:pStyle w:val="22"/>
        <w:tabs>
          <w:tab w:val="right" w:leader="dot" w:pos="9072"/>
        </w:tabs>
      </w:pPr>
      <w:r>
        <w:fldChar w:fldCharType="begin"/>
      </w:r>
      <w:r>
        <w:instrText xml:space="preserve"> HYPERLINK \l "_Toc4527" </w:instrText>
      </w:r>
      <w:r>
        <w:fldChar w:fldCharType="separate"/>
      </w:r>
      <w:r>
        <w:rPr>
          <w:rFonts w:hint="eastAsia" w:asciiTheme="minorEastAsia" w:hAnsiTheme="minorEastAsia" w:eastAsiaTheme="minorEastAsia" w:cstheme="minorEastAsia"/>
          <w:bCs/>
          <w:szCs w:val="21"/>
        </w:rPr>
        <w:t>十一、拟投入项目组人员一览表</w:t>
      </w:r>
      <w:r>
        <w:tab/>
      </w:r>
      <w:r>
        <w:fldChar w:fldCharType="end"/>
      </w:r>
    </w:p>
    <w:p>
      <w:pPr>
        <w:pStyle w:val="22"/>
        <w:tabs>
          <w:tab w:val="right" w:leader="dot" w:pos="9072"/>
        </w:tabs>
      </w:pPr>
      <w:r>
        <w:fldChar w:fldCharType="begin"/>
      </w:r>
      <w:r>
        <w:instrText xml:space="preserve"> HYPERLINK \l "_Toc32413" </w:instrText>
      </w:r>
      <w:r>
        <w:fldChar w:fldCharType="separate"/>
      </w:r>
      <w:r>
        <w:rPr>
          <w:rFonts w:hint="eastAsia" w:asciiTheme="minorEastAsia" w:hAnsiTheme="minorEastAsia" w:eastAsiaTheme="minorEastAsia" w:cstheme="minorEastAsia"/>
          <w:bCs/>
          <w:kern w:val="0"/>
          <w:szCs w:val="21"/>
        </w:rPr>
        <w:t>十二、</w:t>
      </w:r>
      <w:r>
        <w:rPr>
          <w:rFonts w:hint="eastAsia" w:asciiTheme="minorEastAsia" w:hAnsiTheme="minorEastAsia" w:eastAsiaTheme="minorEastAsia" w:cstheme="minorEastAsia"/>
          <w:bCs/>
          <w:szCs w:val="21"/>
        </w:rPr>
        <w:t>供应商的资格声明</w:t>
      </w:r>
      <w:r>
        <w:tab/>
      </w:r>
      <w:r>
        <w:fldChar w:fldCharType="end"/>
      </w:r>
    </w:p>
    <w:p>
      <w:pPr>
        <w:pStyle w:val="22"/>
        <w:tabs>
          <w:tab w:val="right" w:leader="dot" w:pos="9072"/>
        </w:tabs>
      </w:pPr>
      <w:r>
        <w:fldChar w:fldCharType="begin"/>
      </w:r>
      <w:r>
        <w:instrText xml:space="preserve"> HYPERLINK \l "_Toc14244" </w:instrText>
      </w:r>
      <w:r>
        <w:fldChar w:fldCharType="separate"/>
      </w:r>
      <w:r>
        <w:rPr>
          <w:rFonts w:hint="eastAsia" w:asciiTheme="minorEastAsia" w:hAnsiTheme="minorEastAsia" w:eastAsiaTheme="minorEastAsia" w:cstheme="minorEastAsia"/>
          <w:bCs/>
          <w:kern w:val="0"/>
          <w:szCs w:val="21"/>
        </w:rPr>
        <w:t>十三、</w:t>
      </w:r>
      <w:r>
        <w:rPr>
          <w:rFonts w:hint="eastAsia" w:asciiTheme="minorEastAsia" w:hAnsiTheme="minorEastAsia" w:eastAsiaTheme="minorEastAsia" w:cstheme="minorEastAsia"/>
          <w:bCs/>
          <w:szCs w:val="21"/>
        </w:rPr>
        <w:t>资格证明文件</w:t>
      </w:r>
      <w:r>
        <w:tab/>
      </w:r>
      <w:r>
        <w:fldChar w:fldCharType="end"/>
      </w:r>
    </w:p>
    <w:p>
      <w:pPr>
        <w:pStyle w:val="22"/>
        <w:tabs>
          <w:tab w:val="right" w:leader="dot" w:pos="9072"/>
        </w:tabs>
      </w:pPr>
      <w:r>
        <w:fldChar w:fldCharType="begin"/>
      </w:r>
      <w:r>
        <w:instrText xml:space="preserve"> HYPERLINK \l "_Toc31117" </w:instrText>
      </w:r>
      <w:r>
        <w:fldChar w:fldCharType="separate"/>
      </w:r>
      <w:r>
        <w:rPr>
          <w:rFonts w:hint="eastAsia" w:asciiTheme="minorEastAsia" w:hAnsiTheme="minorEastAsia" w:eastAsiaTheme="minorEastAsia" w:cstheme="minorEastAsia"/>
        </w:rPr>
        <w:t>十五、中小企业声明函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end"/>
      </w:r>
    </w:p>
    <w:p>
      <w:pPr>
        <w:pStyle w:val="22"/>
        <w:tabs>
          <w:tab w:val="right" w:leader="dot" w:pos="9072"/>
        </w:tabs>
      </w:pPr>
      <w:r>
        <w:fldChar w:fldCharType="begin"/>
      </w:r>
      <w:r>
        <w:instrText xml:space="preserve"> HYPERLINK \l "_Toc26502" </w:instrText>
      </w:r>
      <w:r>
        <w:fldChar w:fldCharType="separate"/>
      </w:r>
      <w:r>
        <w:rPr>
          <w:rFonts w:hint="eastAsia" w:asciiTheme="minorEastAsia" w:hAnsiTheme="minorEastAsia" w:eastAsiaTheme="minorEastAsia" w:cstheme="minorEastAsia"/>
          <w:bCs/>
          <w:spacing w:val="6"/>
          <w:szCs w:val="21"/>
        </w:rPr>
        <w:t>十六、</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end"/>
      </w:r>
    </w:p>
    <w:p>
      <w:pPr>
        <w:pStyle w:val="22"/>
        <w:tabs>
          <w:tab w:val="right" w:leader="dot" w:pos="9072"/>
        </w:tabs>
      </w:pPr>
      <w:r>
        <w:fldChar w:fldCharType="begin"/>
      </w:r>
      <w:r>
        <w:instrText xml:space="preserve"> HYPERLINK \l "_Toc21103" </w:instrText>
      </w:r>
      <w:r>
        <w:fldChar w:fldCharType="separate"/>
      </w:r>
      <w:r>
        <w:rPr>
          <w:rFonts w:hint="eastAsia" w:asciiTheme="minorEastAsia" w:hAnsiTheme="minorEastAsia" w:eastAsiaTheme="minorEastAsia" w:cstheme="minorEastAsia"/>
          <w:spacing w:val="6"/>
          <w:szCs w:val="21"/>
        </w:rPr>
        <w:t xml:space="preserve"> </w:t>
      </w:r>
      <w:r>
        <w:rPr>
          <w:rFonts w:hint="eastAsia" w:asciiTheme="minorEastAsia" w:hAnsiTheme="minorEastAsia" w:eastAsiaTheme="minorEastAsia" w:cstheme="minorEastAsia"/>
        </w:rPr>
        <w:t>十七、</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end"/>
      </w:r>
    </w:p>
    <w:p>
      <w:pPr>
        <w:pStyle w:val="22"/>
        <w:tabs>
          <w:tab w:val="right" w:leader="dot" w:pos="9072"/>
        </w:tabs>
      </w:pPr>
      <w:r>
        <w:fldChar w:fldCharType="begin"/>
      </w:r>
      <w:r>
        <w:instrText xml:space="preserve"> HYPERLINK \l "_Toc17250" </w:instrText>
      </w:r>
      <w:r>
        <w:fldChar w:fldCharType="separate"/>
      </w:r>
      <w:r>
        <w:rPr>
          <w:rFonts w:hint="eastAsia" w:asciiTheme="minorEastAsia" w:hAnsiTheme="minorEastAsia" w:eastAsiaTheme="minorEastAsia" w:cstheme="minorEastAsia"/>
        </w:rPr>
        <w:t>十八、节能环保产品证明材料（若符合）</w:t>
      </w:r>
      <w:r>
        <w:tab/>
      </w:r>
      <w:r>
        <w:fldChar w:fldCharType="end"/>
      </w:r>
    </w:p>
    <w:p>
      <w:pPr>
        <w:pStyle w:val="22"/>
        <w:tabs>
          <w:tab w:val="right" w:leader="dot" w:pos="9072"/>
        </w:tabs>
      </w:pPr>
      <w:r>
        <w:fldChar w:fldCharType="begin"/>
      </w:r>
      <w:r>
        <w:instrText xml:space="preserve"> HYPERLINK \l "_Toc10995" </w:instrText>
      </w:r>
      <w:r>
        <w:fldChar w:fldCharType="separate"/>
      </w:r>
      <w:r>
        <w:rPr>
          <w:rFonts w:hint="eastAsia" w:asciiTheme="minorEastAsia" w:hAnsiTheme="minorEastAsia" w:eastAsiaTheme="minorEastAsia" w:cstheme="minorEastAsia"/>
          <w:bCs/>
          <w:spacing w:val="6"/>
          <w:szCs w:val="21"/>
        </w:rPr>
        <w:t>十九、</w:t>
      </w:r>
      <w:r>
        <w:rPr>
          <w:rFonts w:hint="eastAsia" w:asciiTheme="minorEastAsia" w:hAnsiTheme="minorEastAsia" w:eastAsiaTheme="minorEastAsia" w:cstheme="minorEastAsia"/>
        </w:rPr>
        <w:t>无重大违法记录声明</w:t>
      </w:r>
      <w:r>
        <w:tab/>
      </w:r>
      <w:r>
        <w:fldChar w:fldCharType="end"/>
      </w:r>
    </w:p>
    <w:p>
      <w:pPr>
        <w:jc w:val="left"/>
        <w:rPr>
          <w:rFonts w:asciiTheme="minorEastAsia" w:hAnsiTheme="minorEastAsia" w:eastAsiaTheme="minorEastAsia" w:cstheme="minorEastAsia"/>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rPr>
        <w:fldChar w:fldCharType="end"/>
      </w: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br w:type="page"/>
      </w:r>
    </w:p>
    <w:p>
      <w:pPr>
        <w:numPr>
          <w:ilvl w:val="0"/>
          <w:numId w:val="5"/>
        </w:numPr>
        <w:spacing w:line="360" w:lineRule="auto"/>
        <w:jc w:val="center"/>
        <w:outlineLvl w:val="0"/>
        <w:rPr>
          <w:b/>
          <w:bCs/>
          <w:sz w:val="24"/>
        </w:rPr>
      </w:pPr>
      <w:bookmarkStart w:id="0" w:name="_Toc6866"/>
      <w:bookmarkStart w:id="1" w:name="_Toc9687"/>
      <w:r>
        <w:rPr>
          <w:rFonts w:hint="eastAsia" w:ascii="宋体" w:hAnsi="宋体" w:cs="宋体"/>
          <w:b/>
          <w:sz w:val="36"/>
          <w:szCs w:val="36"/>
        </w:rPr>
        <w:t>竞争性磋商公告</w:t>
      </w:r>
      <w:bookmarkEnd w:id="0"/>
      <w:bookmarkEnd w:id="1"/>
      <w:bookmarkStart w:id="2" w:name="_Toc144974480"/>
      <w:bookmarkStart w:id="3" w:name="_Toc9976"/>
      <w:bookmarkStart w:id="4" w:name="_Toc179632528"/>
      <w:bookmarkStart w:id="5" w:name="_Toc152045512"/>
      <w:bookmarkStart w:id="6" w:name="_Toc152042288"/>
      <w:bookmarkStart w:id="7" w:name="_Toc524908844"/>
    </w:p>
    <w:bookmarkEnd w:id="2"/>
    <w:bookmarkEnd w:id="3"/>
    <w:bookmarkEnd w:id="4"/>
    <w:bookmarkEnd w:id="5"/>
    <w:bookmarkEnd w:id="6"/>
    <w:bookmarkEnd w:id="7"/>
    <w:p>
      <w:pPr>
        <w:pBdr>
          <w:top w:val="single" w:color="auto" w:sz="4" w:space="1"/>
          <w:left w:val="single" w:color="auto" w:sz="4" w:space="4"/>
          <w:bottom w:val="single" w:color="auto" w:sz="4" w:space="1"/>
          <w:right w:val="single" w:color="auto" w:sz="4" w:space="4"/>
        </w:pBdr>
        <w:spacing w:line="360" w:lineRule="auto"/>
        <w:jc w:val="left"/>
        <w:rPr>
          <w:rFonts w:ascii="宋体" w:hAnsi="宋体" w:cs="宋体"/>
          <w:color w:val="000000"/>
          <w:szCs w:val="21"/>
        </w:rPr>
      </w:pPr>
      <w:r>
        <w:rPr>
          <w:rFonts w:hint="eastAsia" w:ascii="宋体" w:hAnsi="宋体" w:cs="宋体"/>
          <w:b/>
          <w:bCs/>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szCs w:val="21"/>
        </w:rPr>
      </w:pPr>
      <w:r>
        <w:rPr>
          <w:rFonts w:hint="eastAsia" w:ascii="宋体" w:hAnsi="宋体" w:cs="宋体"/>
          <w:color w:val="000000"/>
          <w:szCs w:val="21"/>
        </w:rPr>
        <w:t xml:space="preserve"> 湖北美术学院纳入2020年省直事业单位</w:t>
      </w:r>
      <w:r>
        <w:rPr>
          <w:rFonts w:hint="eastAsia" w:ascii="宋体" w:hAnsi="宋体" w:cs="宋体"/>
          <w:szCs w:val="21"/>
        </w:rPr>
        <w:t>统一公开招聘岗位面试服务项目的潜在供应商应在</w:t>
      </w:r>
      <w:r>
        <w:rPr>
          <w:rFonts w:hint="eastAsia" w:ascii="宋体" w:hAnsi="宋体" w:cs="宋体"/>
          <w:szCs w:val="21"/>
          <w:u w:val="single"/>
        </w:rPr>
        <w:t>中经国际招标集团有限公司（武昌区中北路岳家嘴立交山河企业大厦48楼4805室）或线上</w:t>
      </w:r>
      <w:r>
        <w:rPr>
          <w:rFonts w:hint="eastAsia" w:ascii="宋体" w:hAnsi="宋体" w:cs="宋体"/>
          <w:szCs w:val="21"/>
        </w:rPr>
        <w:t>获取采购文件，并于</w:t>
      </w:r>
      <w:r>
        <w:rPr>
          <w:rFonts w:hint="eastAsia" w:ascii="宋体" w:hAnsi="宋体" w:cs="宋体"/>
          <w:szCs w:val="21"/>
          <w:u w:val="single"/>
        </w:rPr>
        <w:t>2020年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27</w:t>
      </w:r>
      <w:r>
        <w:rPr>
          <w:rFonts w:hint="eastAsia" w:ascii="宋体" w:hAnsi="宋体" w:cs="宋体"/>
          <w:szCs w:val="21"/>
          <w:u w:val="single"/>
        </w:rPr>
        <w:t>日</w:t>
      </w:r>
      <w:r>
        <w:rPr>
          <w:rFonts w:hint="eastAsia" w:ascii="宋体" w:hAnsi="宋体" w:cs="宋体"/>
          <w:szCs w:val="21"/>
          <w:u w:val="single"/>
          <w:lang w:val="en-US" w:eastAsia="zh-CN"/>
        </w:rPr>
        <w:t>14</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w:t>
      </w:r>
      <w:r>
        <w:rPr>
          <w:rFonts w:hint="eastAsia" w:ascii="宋体" w:hAnsi="宋体" w:cs="宋体"/>
          <w:szCs w:val="21"/>
        </w:rPr>
        <w:t>（北京时间）前递交响应文件。</w:t>
      </w:r>
    </w:p>
    <w:p>
      <w:pPr>
        <w:pStyle w:val="4"/>
        <w:numPr>
          <w:ilvl w:val="0"/>
          <w:numId w:val="6"/>
        </w:numPr>
        <w:spacing w:line="360" w:lineRule="auto"/>
        <w:jc w:val="left"/>
        <w:rPr>
          <w:rFonts w:ascii="宋体" w:hAnsi="宋体" w:eastAsia="宋体" w:cs="宋体"/>
          <w:sz w:val="21"/>
          <w:szCs w:val="21"/>
        </w:rPr>
      </w:pPr>
      <w:bookmarkStart w:id="8" w:name="_Toc1828"/>
      <w:r>
        <w:rPr>
          <w:rFonts w:hint="eastAsia" w:ascii="宋体" w:hAnsi="宋体" w:eastAsia="宋体" w:cs="宋体"/>
          <w:sz w:val="21"/>
          <w:szCs w:val="21"/>
        </w:rPr>
        <w:t>项目基本情况</w:t>
      </w:r>
      <w:bookmarkEnd w:id="8"/>
    </w:p>
    <w:p>
      <w:pPr>
        <w:spacing w:line="360" w:lineRule="auto"/>
        <w:jc w:val="left"/>
        <w:rPr>
          <w:rFonts w:ascii="宋体" w:hAnsi="宋体" w:cs="宋体"/>
          <w:szCs w:val="21"/>
        </w:rPr>
      </w:pPr>
      <w:r>
        <w:rPr>
          <w:rFonts w:hint="eastAsia" w:ascii="宋体" w:hAnsi="宋体" w:cs="宋体"/>
          <w:szCs w:val="21"/>
        </w:rPr>
        <w:t>1、项目编号：</w:t>
      </w:r>
      <w:r>
        <w:rPr>
          <w:rFonts w:hint="eastAsia" w:ascii="宋体" w:hAnsi="宋体" w:eastAsia="宋体" w:cs="宋体"/>
          <w:color w:val="auto"/>
          <w:sz w:val="21"/>
          <w:szCs w:val="21"/>
        </w:rPr>
        <w:t>ZJZB-202007-198</w:t>
      </w:r>
      <w:r>
        <w:rPr>
          <w:rFonts w:hint="eastAsia" w:ascii="宋体" w:hAnsi="宋体" w:cs="宋体"/>
          <w:szCs w:val="21"/>
        </w:rPr>
        <w:t>；</w:t>
      </w:r>
      <w:r>
        <w:rPr>
          <w:rFonts w:hint="eastAsia" w:ascii="宋体" w:hAnsi="宋体" w:cs="宋体"/>
          <w:szCs w:val="21"/>
        </w:rPr>
        <w:br w:type="textWrapping"/>
      </w:r>
      <w:r>
        <w:rPr>
          <w:rFonts w:hint="eastAsia" w:ascii="宋体" w:hAnsi="宋体" w:cs="宋体"/>
          <w:szCs w:val="21"/>
        </w:rPr>
        <w:t>2、项目名称：湖北美术学院纳入2020年省直事业单位统一公开招聘岗位面试服务项目</w:t>
      </w:r>
      <w:r>
        <w:rPr>
          <w:rFonts w:hint="eastAsia" w:ascii="宋体" w:hAnsi="宋体" w:cs="宋体"/>
          <w:szCs w:val="21"/>
        </w:rPr>
        <w:br w:type="textWrapping"/>
      </w:r>
      <w:r>
        <w:rPr>
          <w:rFonts w:hint="eastAsia" w:ascii="宋体" w:hAnsi="宋体" w:cs="宋体"/>
          <w:szCs w:val="21"/>
        </w:rPr>
        <w:t xml:space="preserve">3、采购方式：竞争性磋商 </w:t>
      </w:r>
    </w:p>
    <w:p>
      <w:pPr>
        <w:spacing w:line="360" w:lineRule="auto"/>
        <w:jc w:val="left"/>
        <w:rPr>
          <w:rFonts w:ascii="宋体" w:hAnsi="宋体" w:cs="宋体"/>
          <w:szCs w:val="21"/>
        </w:rPr>
      </w:pPr>
      <w:r>
        <w:rPr>
          <w:rFonts w:hint="eastAsia" w:ascii="宋体" w:hAnsi="宋体" w:cs="宋体"/>
          <w:szCs w:val="21"/>
        </w:rPr>
        <w:t>4、预算金额：人民币</w:t>
      </w:r>
      <w:r>
        <w:rPr>
          <w:rFonts w:hint="eastAsia" w:ascii="宋体" w:hAnsi="宋体" w:cs="宋体"/>
          <w:szCs w:val="21"/>
          <w:u w:val="single"/>
        </w:rPr>
        <w:t xml:space="preserve"> 7.7 </w:t>
      </w:r>
      <w:r>
        <w:rPr>
          <w:rFonts w:hint="eastAsia" w:ascii="宋体" w:hAnsi="宋体" w:cs="宋体"/>
          <w:szCs w:val="21"/>
        </w:rPr>
        <w:t>万元（含财政资金</w:t>
      </w:r>
      <w:r>
        <w:rPr>
          <w:rFonts w:hint="eastAsia" w:ascii="宋体" w:hAnsi="宋体" w:cs="宋体"/>
          <w:szCs w:val="21"/>
          <w:u w:val="single"/>
        </w:rPr>
        <w:t xml:space="preserve"> / </w:t>
      </w:r>
      <w:r>
        <w:rPr>
          <w:rFonts w:hint="eastAsia" w:ascii="宋体" w:hAnsi="宋体" w:cs="宋体"/>
          <w:szCs w:val="21"/>
        </w:rPr>
        <w:t>万元，其他资金</w:t>
      </w:r>
      <w:r>
        <w:rPr>
          <w:rFonts w:hint="eastAsia" w:ascii="宋体" w:hAnsi="宋体" w:cs="宋体"/>
          <w:szCs w:val="21"/>
          <w:u w:val="single"/>
        </w:rPr>
        <w:t xml:space="preserve"> 7.7 </w:t>
      </w:r>
      <w:r>
        <w:rPr>
          <w:rFonts w:hint="eastAsia" w:ascii="宋体" w:hAnsi="宋体" w:cs="宋体"/>
          <w:szCs w:val="21"/>
        </w:rPr>
        <w:t>万元）；</w:t>
      </w:r>
      <w:r>
        <w:rPr>
          <w:rFonts w:hint="eastAsia" w:ascii="宋体" w:hAnsi="宋体" w:cs="宋体"/>
          <w:szCs w:val="21"/>
        </w:rPr>
        <w:br w:type="textWrapping"/>
      </w:r>
      <w:r>
        <w:rPr>
          <w:rFonts w:hint="eastAsia" w:ascii="宋体" w:hAnsi="宋体" w:cs="宋体"/>
          <w:szCs w:val="21"/>
        </w:rPr>
        <w:t>5、最高限价：人民币</w:t>
      </w:r>
      <w:r>
        <w:rPr>
          <w:rFonts w:hint="eastAsia" w:ascii="宋体" w:hAnsi="宋体" w:cs="宋体"/>
          <w:szCs w:val="21"/>
          <w:u w:val="single"/>
        </w:rPr>
        <w:t xml:space="preserve"> 7.7 </w:t>
      </w:r>
      <w:r>
        <w:rPr>
          <w:rFonts w:hint="eastAsia" w:ascii="宋体" w:hAnsi="宋体" w:cs="宋体"/>
          <w:szCs w:val="21"/>
        </w:rPr>
        <w:t>万元；</w:t>
      </w:r>
    </w:p>
    <w:p>
      <w:pPr>
        <w:spacing w:line="360" w:lineRule="auto"/>
        <w:jc w:val="left"/>
        <w:rPr>
          <w:rFonts w:ascii="宋体" w:hAnsi="宋体" w:cs="宋体"/>
          <w:szCs w:val="21"/>
        </w:rPr>
      </w:pPr>
      <w:r>
        <w:rPr>
          <w:rFonts w:hint="eastAsia" w:ascii="宋体" w:hAnsi="宋体" w:cs="宋体"/>
          <w:szCs w:val="21"/>
        </w:rPr>
        <w:t>6、采购需求：本次竞争性磋商采购共分</w:t>
      </w:r>
      <w:r>
        <w:rPr>
          <w:rFonts w:hint="eastAsia" w:ascii="宋体" w:hAnsi="宋体" w:cs="宋体"/>
          <w:szCs w:val="21"/>
          <w:u w:val="single"/>
        </w:rPr>
        <w:t>1</w:t>
      </w:r>
      <w:r>
        <w:rPr>
          <w:rFonts w:hint="eastAsia" w:ascii="宋体" w:hAnsi="宋体" w:cs="宋体"/>
          <w:szCs w:val="21"/>
        </w:rPr>
        <w:t>个项目包，具体需求如下，详细技术规格、参数及商务要求见本项目采购文件第三章内容。</w:t>
      </w:r>
    </w:p>
    <w:p>
      <w:pPr>
        <w:numPr>
          <w:ilvl w:val="0"/>
          <w:numId w:val="7"/>
        </w:numPr>
        <w:spacing w:line="360" w:lineRule="auto"/>
        <w:ind w:left="420" w:leftChars="200"/>
        <w:jc w:val="left"/>
        <w:rPr>
          <w:rFonts w:ascii="宋体" w:hAnsi="宋体" w:cs="宋体"/>
          <w:szCs w:val="21"/>
        </w:rPr>
      </w:pPr>
      <w:r>
        <w:rPr>
          <w:rFonts w:hint="eastAsia" w:ascii="宋体" w:hAnsi="宋体" w:cs="宋体"/>
          <w:szCs w:val="21"/>
        </w:rPr>
        <w:t>类别：服务</w:t>
      </w:r>
    </w:p>
    <w:p>
      <w:pPr>
        <w:numPr>
          <w:ilvl w:val="0"/>
          <w:numId w:val="7"/>
        </w:numPr>
        <w:spacing w:line="360" w:lineRule="auto"/>
        <w:ind w:left="420" w:leftChars="200"/>
        <w:jc w:val="left"/>
        <w:rPr>
          <w:rFonts w:ascii="宋体" w:hAnsi="宋体" w:cs="宋体"/>
          <w:szCs w:val="21"/>
        </w:rPr>
      </w:pPr>
      <w:r>
        <w:rPr>
          <w:rFonts w:hint="eastAsia" w:ascii="宋体" w:hAnsi="宋体" w:cs="宋体"/>
          <w:szCs w:val="21"/>
        </w:rPr>
        <w:t>简要技术要求/项目性质：根据上级有关文件精神，湖北美术学院纳入2020年省直事业单位统一公开招聘岗位面试工作委托</w:t>
      </w:r>
      <w:r>
        <w:rPr>
          <w:rFonts w:hint="eastAsia" w:ascii="宋体" w:hAnsi="宋体" w:cs="宋体"/>
          <w:color w:val="000000"/>
          <w:szCs w:val="21"/>
        </w:rPr>
        <w:t>专业机构承办，即面试各环节全部工作，包括但不限于制定工作方案并实施、制定面试工作防疫指南并落实落细各环节各项防疫措施、确定面试入围人员、面试前资格复审、发布面试公告、面试命题及制卷、组织面试考核、统分核分、递补、各类信息发布与公示、各类人员职</w:t>
      </w:r>
      <w:r>
        <w:rPr>
          <w:rFonts w:hint="eastAsia" w:ascii="宋体" w:hAnsi="宋体" w:cs="宋体"/>
          <w:szCs w:val="21"/>
        </w:rPr>
        <w:t>责确定并组织学习、各类人员工作纪律手册印制与组织学习、评委抽选与通知、考生通知、各类人员费用计算与支付、各环节全程视频监控落实、公众疑问解答等。(详见采购文件第三章“项目采购需求”）</w:t>
      </w:r>
    </w:p>
    <w:p>
      <w:pPr>
        <w:numPr>
          <w:ilvl w:val="0"/>
          <w:numId w:val="7"/>
        </w:numPr>
        <w:spacing w:line="360" w:lineRule="auto"/>
        <w:ind w:left="420" w:leftChars="200"/>
        <w:jc w:val="left"/>
        <w:rPr>
          <w:rFonts w:ascii="宋体" w:hAnsi="宋体" w:cs="宋体"/>
          <w:szCs w:val="21"/>
        </w:rPr>
      </w:pPr>
      <w:r>
        <w:rPr>
          <w:rFonts w:hint="eastAsia" w:ascii="宋体" w:hAnsi="宋体" w:cs="宋体"/>
          <w:szCs w:val="21"/>
        </w:rPr>
        <w:t>服务期：2020年下半年（按实际工作进度），具体以采购人要求为准。</w:t>
      </w:r>
    </w:p>
    <w:p>
      <w:pPr>
        <w:numPr>
          <w:ilvl w:val="0"/>
          <w:numId w:val="7"/>
        </w:numPr>
        <w:spacing w:line="360" w:lineRule="auto"/>
        <w:ind w:left="420" w:leftChars="200"/>
        <w:jc w:val="left"/>
        <w:rPr>
          <w:rFonts w:ascii="宋体" w:hAnsi="宋体" w:cs="宋体"/>
          <w:szCs w:val="21"/>
        </w:rPr>
      </w:pPr>
      <w:r>
        <w:rPr>
          <w:rFonts w:hint="eastAsia" w:ascii="宋体" w:hAnsi="宋体" w:cs="宋体"/>
          <w:szCs w:val="21"/>
        </w:rPr>
        <w:t>其他：供应商参加竞标的报价超过该包采购最高限价的，该包竞标无效；供应商报价须包含该采购需求的全部内容。</w:t>
      </w:r>
    </w:p>
    <w:p>
      <w:pPr>
        <w:spacing w:line="360" w:lineRule="auto"/>
        <w:jc w:val="left"/>
        <w:rPr>
          <w:rFonts w:ascii="宋体" w:hAnsi="宋体" w:cs="宋体"/>
          <w:strike/>
          <w:szCs w:val="21"/>
        </w:rPr>
      </w:pPr>
      <w:r>
        <w:rPr>
          <w:rFonts w:hint="eastAsia" w:ascii="宋体" w:hAnsi="宋体" w:cs="宋体"/>
          <w:szCs w:val="21"/>
        </w:rPr>
        <w:t>6、合同履行期限：2020年下半年</w:t>
      </w:r>
      <w:r>
        <w:rPr>
          <w:rFonts w:hint="eastAsia" w:ascii="宋体" w:hAnsi="宋体" w:cs="宋体"/>
          <w:szCs w:val="21"/>
          <w:u w:val="single"/>
        </w:rPr>
        <w:t xml:space="preserve">                   </w:t>
      </w:r>
    </w:p>
    <w:p>
      <w:pPr>
        <w:numPr>
          <w:ilvl w:val="0"/>
          <w:numId w:val="8"/>
        </w:numPr>
        <w:spacing w:line="360" w:lineRule="auto"/>
        <w:jc w:val="left"/>
        <w:rPr>
          <w:rFonts w:ascii="宋体" w:hAnsi="宋体" w:cs="宋体"/>
          <w:szCs w:val="21"/>
        </w:rPr>
      </w:pPr>
      <w:r>
        <w:rPr>
          <w:rFonts w:hint="eastAsia" w:ascii="宋体" w:hAnsi="宋体" w:cs="宋体"/>
          <w:szCs w:val="21"/>
        </w:rPr>
        <w:t>本项目</w:t>
      </w:r>
      <w:r>
        <w:rPr>
          <w:rFonts w:hint="eastAsia" w:ascii="宋体" w:hAnsi="宋体" w:cs="宋体"/>
          <w:szCs w:val="21"/>
          <w:u w:val="single"/>
        </w:rPr>
        <w:t>不接受</w:t>
      </w:r>
      <w:r>
        <w:rPr>
          <w:rFonts w:hint="eastAsia" w:ascii="宋体" w:hAnsi="宋体" w:cs="宋体"/>
          <w:szCs w:val="21"/>
        </w:rPr>
        <w:t>联合体竞标；</w:t>
      </w:r>
    </w:p>
    <w:p>
      <w:pPr>
        <w:pStyle w:val="4"/>
        <w:numPr>
          <w:ilvl w:val="0"/>
          <w:numId w:val="6"/>
        </w:numPr>
        <w:spacing w:line="360" w:lineRule="auto"/>
        <w:jc w:val="left"/>
        <w:rPr>
          <w:rFonts w:ascii="宋体" w:hAnsi="宋体" w:eastAsia="宋体" w:cs="宋体"/>
          <w:sz w:val="21"/>
          <w:szCs w:val="21"/>
        </w:rPr>
      </w:pPr>
      <w:bookmarkStart w:id="9" w:name="_Toc9521"/>
      <w:r>
        <w:rPr>
          <w:rFonts w:hint="eastAsia" w:ascii="宋体" w:hAnsi="宋体" w:eastAsia="宋体" w:cs="宋体"/>
          <w:sz w:val="21"/>
          <w:szCs w:val="21"/>
        </w:rPr>
        <w:t>申请人的资格要求</w:t>
      </w:r>
      <w:bookmarkEnd w:id="9"/>
    </w:p>
    <w:p>
      <w:pPr>
        <w:numPr>
          <w:ilvl w:val="0"/>
          <w:numId w:val="9"/>
        </w:numPr>
        <w:spacing w:line="360" w:lineRule="auto"/>
        <w:ind w:firstLine="420" w:firstLineChars="200"/>
        <w:jc w:val="left"/>
        <w:rPr>
          <w:rFonts w:ascii="宋体" w:hAnsi="宋体" w:cs="宋体"/>
          <w:szCs w:val="21"/>
        </w:rPr>
      </w:pPr>
      <w:r>
        <w:rPr>
          <w:rFonts w:hint="eastAsia" w:ascii="宋体" w:hAnsi="宋体" w:cs="宋体"/>
          <w:szCs w:val="21"/>
        </w:rPr>
        <w:t>满足《中华人民共和国政府采购法》第二十二条规定；</w:t>
      </w:r>
    </w:p>
    <w:p>
      <w:pPr>
        <w:spacing w:line="360" w:lineRule="auto"/>
        <w:ind w:left="446"/>
        <w:jc w:val="left"/>
        <w:rPr>
          <w:rFonts w:ascii="宋体" w:hAnsi="宋体" w:cs="宋体"/>
          <w:szCs w:val="21"/>
        </w:rPr>
      </w:pPr>
      <w:r>
        <w:rPr>
          <w:rFonts w:hint="eastAsia" w:ascii="宋体" w:hAnsi="宋体" w:cs="宋体"/>
          <w:szCs w:val="21"/>
        </w:rPr>
        <w:t xml:space="preserve">   1.1具有独立承担民事责任的能力（经营范围需满足采购需求）；</w:t>
      </w:r>
    </w:p>
    <w:p>
      <w:pPr>
        <w:spacing w:line="360" w:lineRule="auto"/>
        <w:ind w:left="420" w:firstLine="315" w:firstLineChars="150"/>
        <w:jc w:val="left"/>
        <w:rPr>
          <w:rFonts w:ascii="宋体" w:hAnsi="宋体" w:cs="宋体"/>
          <w:szCs w:val="21"/>
        </w:rPr>
      </w:pPr>
      <w:r>
        <w:rPr>
          <w:rFonts w:hint="eastAsia" w:ascii="宋体" w:hAnsi="宋体" w:cs="宋体"/>
          <w:szCs w:val="21"/>
        </w:rPr>
        <w:t>1.2具有良好的商业信誉和健全的财务会计制度；</w:t>
      </w:r>
    </w:p>
    <w:p>
      <w:pPr>
        <w:spacing w:line="360" w:lineRule="auto"/>
        <w:ind w:left="420" w:firstLine="315" w:firstLineChars="150"/>
        <w:jc w:val="left"/>
        <w:rPr>
          <w:rFonts w:ascii="宋体" w:hAnsi="宋体" w:cs="宋体"/>
          <w:szCs w:val="21"/>
        </w:rPr>
      </w:pPr>
      <w:r>
        <w:rPr>
          <w:rFonts w:hint="eastAsia" w:ascii="宋体" w:hAnsi="宋体" w:cs="宋体"/>
          <w:szCs w:val="21"/>
        </w:rPr>
        <w:t>1.3具有履行合同所必需的设备和专业技术能力；</w:t>
      </w:r>
    </w:p>
    <w:p>
      <w:pPr>
        <w:spacing w:line="360" w:lineRule="auto"/>
        <w:ind w:left="420" w:firstLine="315" w:firstLineChars="150"/>
        <w:jc w:val="left"/>
        <w:rPr>
          <w:rFonts w:ascii="宋体" w:hAnsi="宋体" w:cs="宋体"/>
          <w:szCs w:val="21"/>
        </w:rPr>
      </w:pPr>
      <w:r>
        <w:rPr>
          <w:rFonts w:hint="eastAsia" w:ascii="宋体" w:hAnsi="宋体" w:cs="宋体"/>
          <w:szCs w:val="21"/>
        </w:rPr>
        <w:t>1.4有依法缴纳税收和社会保障资金的良好记录；</w:t>
      </w:r>
    </w:p>
    <w:p>
      <w:pPr>
        <w:spacing w:line="360" w:lineRule="auto"/>
        <w:ind w:left="420" w:firstLine="315" w:firstLineChars="150"/>
        <w:jc w:val="left"/>
        <w:rPr>
          <w:rFonts w:ascii="宋体" w:hAnsi="宋体" w:cs="宋体"/>
          <w:szCs w:val="21"/>
        </w:rPr>
      </w:pPr>
      <w:r>
        <w:rPr>
          <w:rFonts w:hint="eastAsia" w:ascii="宋体" w:hAnsi="宋体" w:cs="宋体"/>
          <w:szCs w:val="21"/>
        </w:rPr>
        <w:t>1.5参加政府采购活动前三年内，在经营活动中没有重大违法记录；（重大违法记录是指供应商因违法经营受到刑事处罚或者责令停产停业、吊销许可证或者执照、较大数额罚款等行政处罚）</w:t>
      </w:r>
    </w:p>
    <w:p>
      <w:pPr>
        <w:spacing w:line="360" w:lineRule="auto"/>
        <w:ind w:left="420" w:firstLine="315" w:firstLineChars="150"/>
        <w:jc w:val="left"/>
        <w:rPr>
          <w:rFonts w:ascii="宋体" w:hAnsi="宋体" w:cs="宋体"/>
          <w:szCs w:val="21"/>
        </w:rPr>
      </w:pPr>
      <w:r>
        <w:rPr>
          <w:rFonts w:hint="eastAsia" w:ascii="宋体" w:hAnsi="宋体" w:cs="宋体"/>
          <w:szCs w:val="21"/>
        </w:rPr>
        <w:t>1.6法律、行政法规规定的其他条件；</w:t>
      </w:r>
    </w:p>
    <w:p>
      <w:pPr>
        <w:numPr>
          <w:ilvl w:val="0"/>
          <w:numId w:val="9"/>
        </w:numPr>
        <w:spacing w:line="360" w:lineRule="auto"/>
        <w:ind w:firstLine="420" w:firstLineChars="200"/>
        <w:jc w:val="left"/>
        <w:rPr>
          <w:rFonts w:ascii="宋体" w:hAnsi="宋体" w:cs="宋体"/>
          <w:szCs w:val="21"/>
        </w:rPr>
      </w:pPr>
      <w:r>
        <w:rPr>
          <w:rFonts w:hint="eastAsia" w:ascii="宋体" w:hAnsi="宋体" w:cs="宋体"/>
          <w:szCs w:val="21"/>
        </w:rPr>
        <w:t>落实政府采购政策需满足的资格要求：本项目需落实政府采购强制、优先采购节能产品政策；政府采购优先采购环保产品政策；政府采购促进中小企业发展（监狱企业、残疾人福利性单位视同小微企业）等政策详见采购文件；</w:t>
      </w:r>
    </w:p>
    <w:p>
      <w:pPr>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供应商未被列入“信用中国”网站(www.creditchina.gov.cn)失信被执行人、重大税收违法案件当事人、政府采购严重违法失信行为记录名单和“中国政府采购”网站（www.ccgp.gov.cn）政府采购严重违法失信行为记录名单（评审时以采购代理机构现场查询结果为准）；</w:t>
      </w:r>
      <w:r>
        <w:rPr>
          <w:rFonts w:hint="eastAsia" w:ascii="宋体" w:hAnsi="宋体" w:cs="宋体"/>
          <w:szCs w:val="21"/>
          <w:u w:val="single"/>
        </w:rPr>
        <w:t xml:space="preserve">                      </w:t>
      </w:r>
    </w:p>
    <w:p>
      <w:pPr>
        <w:spacing w:line="360" w:lineRule="auto"/>
        <w:ind w:left="426"/>
        <w:jc w:val="left"/>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如国家法律法规对市场准入有要求的还应符合相关规定；</w:t>
      </w:r>
    </w:p>
    <w:p>
      <w:pPr>
        <w:spacing w:line="360" w:lineRule="auto"/>
        <w:ind w:left="425"/>
        <w:jc w:val="left"/>
        <w:rPr>
          <w:rFonts w:ascii="宋体" w:hAnsi="宋体" w:cs="宋体"/>
          <w:b/>
          <w:bCs/>
          <w:szCs w:val="21"/>
        </w:rPr>
      </w:pPr>
      <w:r>
        <w:rPr>
          <w:rFonts w:hint="eastAsia" w:ascii="宋体" w:hAnsi="宋体" w:cs="宋体"/>
          <w:b/>
          <w:bCs/>
          <w:szCs w:val="21"/>
        </w:rPr>
        <w:t>5</w:t>
      </w:r>
      <w:r>
        <w:rPr>
          <w:rFonts w:ascii="宋体" w:hAnsi="宋体" w:cs="宋体"/>
          <w:b/>
          <w:bCs/>
          <w:szCs w:val="21"/>
        </w:rPr>
        <w:t>.</w:t>
      </w:r>
      <w:r>
        <w:rPr>
          <w:rFonts w:hint="eastAsia" w:ascii="宋体" w:hAnsi="宋体" w:cs="宋体"/>
          <w:b/>
          <w:bCs/>
          <w:szCs w:val="21"/>
        </w:rPr>
        <w:t>本项目的特定资格要求：</w:t>
      </w:r>
    </w:p>
    <w:p>
      <w:pPr>
        <w:pStyle w:val="2"/>
        <w:spacing w:line="360" w:lineRule="auto"/>
        <w:ind w:firstLine="420" w:firstLineChars="200"/>
      </w:pPr>
      <w:r>
        <w:rPr>
          <w:rFonts w:ascii="宋体" w:hAnsi="宋体" w:cs="宋体"/>
          <w:szCs w:val="21"/>
        </w:rPr>
        <w:t>5.1</w:t>
      </w:r>
      <w:r>
        <w:rPr>
          <w:rFonts w:hint="eastAsia" w:ascii="宋体" w:hAnsi="宋体" w:cs="宋体"/>
          <w:szCs w:val="21"/>
        </w:rPr>
        <w:t>人社部门所属人事考试机构、人才服务机构，或具备条件的第三方机构（统称专业机构）</w:t>
      </w:r>
      <w:r>
        <w:rPr>
          <w:rFonts w:ascii="宋体" w:hAnsi="宋体" w:cs="宋体"/>
          <w:szCs w:val="21"/>
        </w:rPr>
        <w:t>;</w:t>
      </w:r>
    </w:p>
    <w:p>
      <w:pPr>
        <w:pStyle w:val="2"/>
        <w:spacing w:line="360" w:lineRule="auto"/>
        <w:ind w:firstLine="420" w:firstLineChars="200"/>
        <w:rPr>
          <w:rFonts w:ascii="宋体" w:hAnsi="宋体" w:cs="宋体"/>
          <w:szCs w:val="21"/>
        </w:rPr>
      </w:pPr>
      <w:r>
        <w:rPr>
          <w:rFonts w:ascii="宋体" w:hAnsi="宋体" w:cs="宋体"/>
          <w:szCs w:val="21"/>
        </w:rPr>
        <w:t>5.2</w:t>
      </w:r>
      <w:r>
        <w:rPr>
          <w:rFonts w:hint="eastAsia" w:ascii="宋体" w:hAnsi="宋体" w:cs="宋体"/>
          <w:szCs w:val="21"/>
        </w:rPr>
        <w:t>有效的人才招聘服务行业资质；</w:t>
      </w:r>
    </w:p>
    <w:p>
      <w:pPr>
        <w:pStyle w:val="2"/>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有效的营业执照、税务登记证、组织机构代码证；</w:t>
      </w:r>
    </w:p>
    <w:p>
      <w:pPr>
        <w:pStyle w:val="2"/>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有高校人才招聘工作服务经验。</w:t>
      </w:r>
    </w:p>
    <w:p>
      <w:pPr>
        <w:pStyle w:val="4"/>
        <w:numPr>
          <w:ilvl w:val="0"/>
          <w:numId w:val="6"/>
        </w:numPr>
        <w:spacing w:line="360" w:lineRule="auto"/>
        <w:jc w:val="left"/>
        <w:rPr>
          <w:rFonts w:ascii="宋体" w:hAnsi="宋体" w:eastAsia="宋体" w:cs="宋体"/>
          <w:sz w:val="21"/>
          <w:szCs w:val="21"/>
        </w:rPr>
      </w:pPr>
      <w:bookmarkStart w:id="10" w:name="_Toc6429"/>
      <w:bookmarkStart w:id="11" w:name="_Toc334539185"/>
      <w:r>
        <w:rPr>
          <w:rFonts w:hint="eastAsia" w:ascii="宋体" w:hAnsi="宋体" w:eastAsia="宋体" w:cs="宋体"/>
          <w:sz w:val="21"/>
          <w:szCs w:val="21"/>
        </w:rPr>
        <w:t>获取采购文件</w:t>
      </w:r>
      <w:bookmarkEnd w:id="10"/>
    </w:p>
    <w:p>
      <w:pPr>
        <w:spacing w:line="360" w:lineRule="auto"/>
        <w:ind w:firstLine="420" w:firstLineChars="200"/>
        <w:jc w:val="left"/>
        <w:rPr>
          <w:rFonts w:ascii="宋体" w:hAnsi="宋体" w:cs="宋体"/>
          <w:szCs w:val="21"/>
        </w:rPr>
      </w:pPr>
      <w:r>
        <w:rPr>
          <w:rFonts w:hint="eastAsia" w:ascii="宋体" w:hAnsi="宋体" w:cs="宋体"/>
          <w:szCs w:val="21"/>
          <w:lang w:val="en-US" w:eastAsia="zh-CN"/>
        </w:rPr>
        <w:t>时间：2020年7月16日至2020年7月24日</w:t>
      </w:r>
      <w:r>
        <w:rPr>
          <w:rFonts w:hint="eastAsia" w:ascii="宋体" w:hAnsi="宋体" w:cs="宋体"/>
          <w:szCs w:val="21"/>
        </w:rPr>
        <w:t>（提供期限自本公告发布之日起至少5个工作日），每天上午09:00至12:00，下午14:30至17:00（北京时间，法定节假日除外）</w:t>
      </w:r>
    </w:p>
    <w:p>
      <w:pPr>
        <w:spacing w:line="360" w:lineRule="auto"/>
        <w:ind w:firstLine="420" w:firstLineChars="200"/>
        <w:jc w:val="left"/>
        <w:rPr>
          <w:rFonts w:ascii="宋体" w:hAnsi="宋体" w:cs="宋体"/>
          <w:szCs w:val="21"/>
        </w:rPr>
      </w:pPr>
      <w:r>
        <w:rPr>
          <w:rFonts w:hint="eastAsia" w:ascii="宋体" w:hAnsi="宋体" w:cs="宋体"/>
          <w:szCs w:val="21"/>
        </w:rPr>
        <w:t>地点：武昌区中北路岳家嘴立交山河企业大厦48楼4805室；</w:t>
      </w:r>
    </w:p>
    <w:p>
      <w:pPr>
        <w:spacing w:line="360" w:lineRule="auto"/>
        <w:ind w:firstLine="420" w:firstLineChars="200"/>
        <w:jc w:val="left"/>
        <w:rPr>
          <w:rFonts w:ascii="宋体" w:hAnsi="宋体" w:cs="宋体"/>
          <w:szCs w:val="21"/>
        </w:rPr>
      </w:pPr>
      <w:r>
        <w:rPr>
          <w:rFonts w:hint="eastAsia" w:ascii="宋体" w:hAnsi="宋体" w:cs="宋体"/>
          <w:szCs w:val="21"/>
        </w:rPr>
        <w:t>现场获取：</w:t>
      </w:r>
      <w:bookmarkEnd w:id="11"/>
      <w:r>
        <w:rPr>
          <w:rFonts w:hint="eastAsia" w:ascii="宋体" w:hAnsi="宋体" w:cs="宋体"/>
          <w:szCs w:val="21"/>
        </w:rPr>
        <w:t>1）法定代表人领取的，凭法定代表人身份证明书（格式见附件）及法定代表人身份证原件领取；2）法定代表人委托他人领取的，凭法定代表人授权书（格式见附件）及受托人身份证原件领取；3）加盖公章的营业执照真彩扫描件、项目报名表（格式见附件）、供应商信用承诺书（格式见附件）、《中小企业声明函》扫描件，格式详见《政府采购促进中小企业发展暂行办法》(财库【2011】181号)（如项目非专门面向中小微企业，则不需要中小企业声明函）；</w:t>
      </w:r>
      <w:r>
        <w:rPr>
          <w:rFonts w:hint="eastAsia" w:ascii="宋体" w:hAnsi="宋体" w:cs="宋体"/>
          <w:szCs w:val="21"/>
        </w:rPr>
        <w:br w:type="textWrapping"/>
      </w:r>
      <w:r>
        <w:rPr>
          <w:rFonts w:hint="eastAsia" w:ascii="宋体" w:hAnsi="宋体" w:cs="宋体"/>
          <w:b/>
          <w:bCs/>
          <w:szCs w:val="21"/>
        </w:rPr>
        <w:t xml:space="preserve">    </w:t>
      </w:r>
      <w:r>
        <w:rPr>
          <w:rFonts w:hint="eastAsia" w:ascii="宋体" w:hAnsi="宋体" w:cs="宋体"/>
          <w:szCs w:val="21"/>
        </w:rPr>
        <w:t>线上获取：线上获取文件的供应商，将公告后附件内容加盖公章扫描成PDF格式发送至邮箱2102252595@qq.com（邮件主题名称必须备注所参与的项目名称及公司全称，否则不予受理），以邮箱收到的时间为准。我司会按照收到资料的顺次序逐一回复，供应商递交资料后请耐心等待工作人员邮箱回复消息后，支付文件费用并确认报名成功。报名咨询请优先选择邮箱留言方式，特殊情况再电话联系，感谢理解。</w:t>
      </w:r>
    </w:p>
    <w:p>
      <w:pPr>
        <w:spacing w:line="360" w:lineRule="auto"/>
        <w:ind w:firstLine="420" w:firstLineChars="200"/>
        <w:jc w:val="left"/>
        <w:rPr>
          <w:rFonts w:ascii="宋体" w:hAnsi="宋体" w:cs="宋体"/>
          <w:szCs w:val="21"/>
        </w:rPr>
      </w:pPr>
      <w:r>
        <w:rPr>
          <w:rFonts w:hint="eastAsia" w:ascii="宋体" w:hAnsi="宋体" w:cs="宋体"/>
          <w:szCs w:val="21"/>
        </w:rPr>
        <w:t>售价：采购文件人民币400元/本，售后不退，不办理邮寄；</w:t>
      </w:r>
    </w:p>
    <w:p>
      <w:pPr>
        <w:pStyle w:val="4"/>
        <w:numPr>
          <w:ilvl w:val="0"/>
          <w:numId w:val="6"/>
        </w:numPr>
        <w:spacing w:line="360" w:lineRule="auto"/>
        <w:jc w:val="left"/>
        <w:rPr>
          <w:rFonts w:ascii="宋体" w:hAnsi="宋体" w:eastAsia="宋体" w:cs="宋体"/>
          <w:sz w:val="21"/>
          <w:szCs w:val="21"/>
        </w:rPr>
      </w:pPr>
      <w:bookmarkStart w:id="12" w:name="_Toc22350"/>
      <w:r>
        <w:rPr>
          <w:rFonts w:hint="eastAsia" w:ascii="宋体" w:hAnsi="宋体" w:eastAsia="宋体" w:cs="宋体"/>
          <w:sz w:val="21"/>
          <w:szCs w:val="21"/>
        </w:rPr>
        <w:t>响应文件提交</w:t>
      </w:r>
      <w:bookmarkEnd w:id="12"/>
    </w:p>
    <w:p>
      <w:pPr>
        <w:spacing w:line="360" w:lineRule="auto"/>
        <w:ind w:firstLine="420" w:firstLineChars="200"/>
        <w:jc w:val="left"/>
        <w:rPr>
          <w:rFonts w:hint="eastAsia" w:ascii="宋体" w:hAnsi="宋体" w:cs="宋体"/>
          <w:szCs w:val="21"/>
          <w:lang w:val="zh-CN" w:eastAsia="zh-CN"/>
        </w:rPr>
      </w:pPr>
      <w:r>
        <w:rPr>
          <w:rFonts w:hint="eastAsia" w:ascii="宋体" w:hAnsi="宋体" w:cs="宋体"/>
          <w:szCs w:val="21"/>
          <w:lang w:val="en-US" w:eastAsia="zh-CN"/>
        </w:rPr>
        <w:t>2020年7月30日14点30分（北京时间）（从磋商文件开始发出之日起至供应商提交首次响应文件截止之日止不得少于10日）</w:t>
      </w:r>
    </w:p>
    <w:p>
      <w:pPr>
        <w:spacing w:line="360" w:lineRule="auto"/>
        <w:ind w:firstLine="420" w:firstLineChars="200"/>
        <w:jc w:val="left"/>
        <w:rPr>
          <w:rFonts w:ascii="宋体" w:hAnsi="宋体" w:cs="宋体"/>
          <w:szCs w:val="21"/>
        </w:rPr>
      </w:pPr>
      <w:bookmarkStart w:id="236" w:name="_GoBack"/>
      <w:bookmarkEnd w:id="236"/>
      <w:r>
        <w:rPr>
          <w:rFonts w:hint="eastAsia" w:ascii="宋体" w:hAnsi="宋体" w:cs="宋体"/>
          <w:szCs w:val="21"/>
        </w:rPr>
        <w:t>送达地点：武昌区中北路岳家嘴立交山河企业大厦4806室</w:t>
      </w:r>
    </w:p>
    <w:p>
      <w:pPr>
        <w:pStyle w:val="4"/>
        <w:numPr>
          <w:ilvl w:val="0"/>
          <w:numId w:val="6"/>
        </w:numPr>
        <w:spacing w:line="360" w:lineRule="auto"/>
        <w:jc w:val="left"/>
        <w:rPr>
          <w:rFonts w:eastAsia="宋体"/>
          <w:sz w:val="21"/>
          <w:szCs w:val="21"/>
        </w:rPr>
      </w:pPr>
      <w:bookmarkStart w:id="13" w:name="_Toc585"/>
      <w:r>
        <w:rPr>
          <w:rFonts w:hint="eastAsia" w:ascii="宋体" w:hAnsi="宋体" w:eastAsia="宋体" w:cs="宋体"/>
          <w:sz w:val="21"/>
          <w:szCs w:val="21"/>
        </w:rPr>
        <w:t>开启</w:t>
      </w:r>
      <w:bookmarkEnd w:id="13"/>
    </w:p>
    <w:p>
      <w:pPr>
        <w:spacing w:line="360" w:lineRule="auto"/>
        <w:ind w:firstLine="420" w:firstLineChars="200"/>
        <w:jc w:val="left"/>
        <w:rPr>
          <w:szCs w:val="21"/>
        </w:rPr>
      </w:pPr>
      <w:r>
        <w:rPr>
          <w:rFonts w:hint="eastAsia" w:ascii="宋体" w:hAnsi="宋体" w:cs="宋体"/>
          <w:szCs w:val="21"/>
        </w:rPr>
        <w:t>时间：2020年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w:t>
      </w:r>
      <w:r>
        <w:rPr>
          <w:rFonts w:hint="eastAsia" w:ascii="宋体" w:hAnsi="宋体" w:cs="宋体"/>
          <w:szCs w:val="21"/>
          <w:lang w:val="en-US" w:eastAsia="zh-CN"/>
        </w:rPr>
        <w:t>14</w:t>
      </w:r>
      <w:r>
        <w:rPr>
          <w:rFonts w:hint="eastAsia" w:ascii="宋体" w:hAnsi="宋体" w:cs="宋体"/>
          <w:szCs w:val="21"/>
        </w:rPr>
        <w:t>点</w:t>
      </w:r>
      <w:r>
        <w:rPr>
          <w:rFonts w:hint="eastAsia" w:ascii="宋体" w:hAnsi="宋体" w:cs="宋体"/>
          <w:szCs w:val="21"/>
          <w:lang w:val="en-US" w:eastAsia="zh-CN"/>
        </w:rPr>
        <w:t>30</w:t>
      </w:r>
      <w:r>
        <w:rPr>
          <w:rFonts w:hint="eastAsia" w:ascii="宋体" w:hAnsi="宋体" w:cs="宋体"/>
          <w:szCs w:val="21"/>
        </w:rPr>
        <w:t>分（北京时间）</w:t>
      </w:r>
    </w:p>
    <w:p>
      <w:pPr>
        <w:pStyle w:val="4"/>
        <w:numPr>
          <w:ilvl w:val="0"/>
          <w:numId w:val="6"/>
        </w:numPr>
        <w:spacing w:line="360" w:lineRule="auto"/>
        <w:jc w:val="left"/>
        <w:rPr>
          <w:rFonts w:ascii="宋体" w:hAnsi="宋体" w:eastAsia="宋体" w:cs="宋体"/>
          <w:sz w:val="21"/>
          <w:szCs w:val="21"/>
        </w:rPr>
      </w:pPr>
      <w:bookmarkStart w:id="14" w:name="_Toc1096"/>
      <w:bookmarkStart w:id="15" w:name="_Toc19527556"/>
      <w:bookmarkStart w:id="16" w:name="_Toc10673370"/>
      <w:bookmarkStart w:id="17" w:name="_Toc21911"/>
      <w:bookmarkStart w:id="18" w:name="_Toc334539187"/>
      <w:bookmarkStart w:id="19" w:name="_Toc259028277"/>
      <w:bookmarkStart w:id="20" w:name="_Toc30303"/>
      <w:r>
        <w:rPr>
          <w:rFonts w:hint="eastAsia" w:ascii="宋体" w:hAnsi="宋体" w:eastAsia="宋体" w:cs="宋体"/>
          <w:sz w:val="21"/>
          <w:szCs w:val="21"/>
        </w:rPr>
        <w:t>采购人联系方式</w:t>
      </w:r>
      <w:bookmarkEnd w:id="14"/>
      <w:bookmarkEnd w:id="15"/>
      <w:bookmarkEnd w:id="16"/>
      <w:bookmarkEnd w:id="17"/>
      <w:bookmarkEnd w:id="18"/>
      <w:bookmarkEnd w:id="19"/>
      <w:r>
        <w:rPr>
          <w:rFonts w:hint="eastAsia" w:ascii="宋体" w:hAnsi="宋体" w:eastAsia="宋体" w:cs="宋体"/>
          <w:sz w:val="21"/>
          <w:szCs w:val="21"/>
        </w:rPr>
        <w:t>公告期限</w:t>
      </w:r>
      <w:bookmarkEnd w:id="20"/>
    </w:p>
    <w:p>
      <w:pPr>
        <w:spacing w:line="360" w:lineRule="auto"/>
        <w:ind w:firstLine="420" w:firstLineChars="200"/>
        <w:jc w:val="left"/>
        <w:rPr>
          <w:rFonts w:ascii="宋体" w:hAnsi="宋体" w:cs="宋体"/>
          <w:szCs w:val="21"/>
        </w:rPr>
      </w:pPr>
      <w:bookmarkStart w:id="21" w:name="_Toc317262251"/>
      <w:bookmarkStart w:id="22" w:name="_Toc320898024"/>
      <w:bookmarkStart w:id="23" w:name="_Toc259607751"/>
      <w:bookmarkStart w:id="24" w:name="_Toc334539188"/>
      <w:bookmarkStart w:id="25" w:name="_Toc276368888"/>
      <w:bookmarkStart w:id="26" w:name="_Toc6021"/>
      <w:r>
        <w:rPr>
          <w:rFonts w:hint="eastAsia" w:ascii="宋体" w:hAnsi="宋体" w:cs="宋体"/>
          <w:szCs w:val="21"/>
        </w:rPr>
        <w:t>自本公告发布之日起至少5个工作日</w:t>
      </w:r>
    </w:p>
    <w:bookmarkEnd w:id="21"/>
    <w:bookmarkEnd w:id="22"/>
    <w:bookmarkEnd w:id="23"/>
    <w:bookmarkEnd w:id="24"/>
    <w:bookmarkEnd w:id="25"/>
    <w:bookmarkEnd w:id="26"/>
    <w:p>
      <w:pPr>
        <w:pStyle w:val="4"/>
        <w:numPr>
          <w:ilvl w:val="0"/>
          <w:numId w:val="6"/>
        </w:numPr>
        <w:spacing w:line="360" w:lineRule="auto"/>
        <w:jc w:val="left"/>
        <w:rPr>
          <w:rFonts w:ascii="宋体" w:hAnsi="宋体" w:eastAsia="宋体" w:cs="宋体"/>
          <w:sz w:val="21"/>
          <w:szCs w:val="21"/>
        </w:rPr>
      </w:pPr>
      <w:bookmarkStart w:id="27" w:name="_Toc2554"/>
      <w:r>
        <w:rPr>
          <w:rFonts w:hint="eastAsia" w:ascii="宋体" w:hAnsi="宋体" w:eastAsia="宋体" w:cs="宋体"/>
          <w:sz w:val="21"/>
          <w:szCs w:val="21"/>
        </w:rPr>
        <w:t>其他补充事宜</w:t>
      </w:r>
      <w:bookmarkEnd w:id="27"/>
    </w:p>
    <w:p>
      <w:pPr>
        <w:spacing w:line="360" w:lineRule="auto"/>
        <w:ind w:firstLine="420" w:firstLineChars="200"/>
        <w:jc w:val="left"/>
        <w:rPr>
          <w:rFonts w:ascii="宋体" w:hAnsi="宋体" w:cs="宋体"/>
          <w:szCs w:val="21"/>
        </w:rPr>
      </w:pPr>
      <w:bookmarkStart w:id="28" w:name="_Toc259028279"/>
      <w:r>
        <w:rPr>
          <w:rFonts w:hint="eastAsia" w:ascii="宋体" w:hAnsi="宋体" w:cs="宋体"/>
          <w:szCs w:val="21"/>
        </w:rPr>
        <w:t>1.本项目是否专门面向中小企业、监狱企业、残疾人福利性单位：否</w:t>
      </w:r>
    </w:p>
    <w:p>
      <w:pPr>
        <w:spacing w:line="360" w:lineRule="auto"/>
        <w:ind w:firstLine="420" w:firstLineChars="200"/>
        <w:jc w:val="left"/>
        <w:rPr>
          <w:rFonts w:ascii="宋体" w:hAnsi="宋体" w:cs="宋体"/>
          <w:szCs w:val="21"/>
        </w:rPr>
      </w:pPr>
      <w:r>
        <w:rPr>
          <w:rFonts w:hint="eastAsia" w:ascii="宋体" w:hAnsi="宋体" w:cs="宋体"/>
          <w:szCs w:val="21"/>
        </w:rPr>
        <w:t>2.与采购人存在利害关系可能影响采购公正性的法人、其他组织或者个人，不得参与本项目；单位负责人为同一人或存在控股、管理关系的不同单位只能有一家单位报名(按在采购代理机构处获取文件登记的先后顺序)。为本项目提供过整体设计、规范编制或者项目管理、监理、检测等服务的供应商不得参加本次采购活动。</w:t>
      </w:r>
    </w:p>
    <w:p>
      <w:pPr>
        <w:spacing w:line="360" w:lineRule="auto"/>
        <w:ind w:firstLine="420" w:firstLineChars="200"/>
        <w:jc w:val="left"/>
        <w:rPr>
          <w:rFonts w:ascii="宋体" w:hAnsi="宋体" w:cs="宋体"/>
          <w:szCs w:val="21"/>
        </w:rPr>
      </w:pPr>
      <w:r>
        <w:rPr>
          <w:rFonts w:hint="eastAsia" w:ascii="宋体" w:hAnsi="宋体" w:cs="宋体"/>
          <w:szCs w:val="21"/>
        </w:rPr>
        <w:t>3.供应商如需查询技术要求可直接到我处查阅采购文件第三章相关内容。</w:t>
      </w:r>
      <w:r>
        <w:rPr>
          <w:rFonts w:hint="eastAsia" w:ascii="宋体" w:hAnsi="宋体" w:cs="宋体"/>
          <w:szCs w:val="21"/>
        </w:rPr>
        <w:br w:type="textWrapping"/>
      </w:r>
      <w:r>
        <w:rPr>
          <w:rFonts w:hint="eastAsia" w:ascii="宋体" w:hAnsi="宋体" w:cs="宋体"/>
          <w:szCs w:val="21"/>
        </w:rPr>
        <w:t xml:space="preserve">    4.本项目将在以下网站发布所有信息，请参加本项目竞标的供应商密切关注。</w:t>
      </w:r>
      <w:r>
        <w:rPr>
          <w:rFonts w:hint="eastAsia" w:ascii="宋体" w:hAnsi="宋体" w:cs="宋体"/>
          <w:szCs w:val="21"/>
        </w:rPr>
        <w:br w:type="textWrapping"/>
      </w:r>
      <w:r>
        <w:rPr>
          <w:rFonts w:hint="eastAsia" w:ascii="宋体" w:hAnsi="宋体" w:cs="宋体"/>
          <w:szCs w:val="21"/>
        </w:rPr>
        <w:t xml:space="preserve">    （一）《中国政府采购网》（网址：</w:t>
      </w:r>
      <w:r>
        <w:rPr>
          <w:rFonts w:hint="eastAsia" w:ascii="宋体" w:hAnsi="宋体" w:cs="宋体"/>
          <w:szCs w:val="21"/>
        </w:rPr>
        <w:fldChar w:fldCharType="begin"/>
      </w:r>
      <w:r>
        <w:rPr>
          <w:rFonts w:hint="eastAsia" w:ascii="宋体" w:hAnsi="宋体" w:cs="宋体"/>
          <w:szCs w:val="21"/>
        </w:rPr>
        <w:instrText xml:space="preserve"> HYPERLINK "http://www.ccgp.gov.cn/）" </w:instrText>
      </w:r>
      <w:r>
        <w:rPr>
          <w:rFonts w:hint="eastAsia" w:ascii="宋体" w:hAnsi="宋体" w:cs="宋体"/>
          <w:szCs w:val="21"/>
        </w:rPr>
        <w:fldChar w:fldCharType="separate"/>
      </w:r>
      <w:r>
        <w:rPr>
          <w:rFonts w:hint="eastAsia" w:ascii="宋体" w:hAnsi="宋体" w:cs="宋体"/>
          <w:szCs w:val="21"/>
        </w:rPr>
        <w:t>http://www.ccgp.gov.cn/）</w:t>
      </w:r>
      <w:r>
        <w:rPr>
          <w:rFonts w:hint="eastAsia" w:ascii="宋体" w:hAnsi="宋体" w:cs="宋体"/>
          <w:szCs w:val="21"/>
        </w:rPr>
        <w:fldChar w:fldCharType="end"/>
      </w:r>
    </w:p>
    <w:p>
      <w:pPr>
        <w:spacing w:line="360" w:lineRule="auto"/>
        <w:ind w:firstLine="420" w:firstLineChars="200"/>
        <w:jc w:val="left"/>
        <w:rPr>
          <w:rFonts w:ascii="宋体" w:hAnsi="宋体" w:cs="宋体"/>
          <w:szCs w:val="21"/>
        </w:rPr>
      </w:pPr>
      <w:r>
        <w:rPr>
          <w:rFonts w:hint="eastAsia" w:ascii="宋体" w:hAnsi="宋体" w:cs="宋体"/>
          <w:szCs w:val="21"/>
        </w:rPr>
        <w:t>（二）《中经国际招标集团有限公司官网》（网址：</w:t>
      </w:r>
      <w:r>
        <w:rPr>
          <w:rFonts w:hint="eastAsia" w:ascii="宋体" w:hAnsi="宋体" w:cs="宋体"/>
          <w:szCs w:val="21"/>
        </w:rPr>
        <w:fldChar w:fldCharType="begin"/>
      </w:r>
      <w:r>
        <w:rPr>
          <w:rFonts w:hint="eastAsia" w:ascii="宋体" w:hAnsi="宋体" w:cs="宋体"/>
          <w:szCs w:val="21"/>
        </w:rPr>
        <w:instrText xml:space="preserve"> HYPERLINK "http://www.ceitcl.com/）" </w:instrText>
      </w:r>
      <w:r>
        <w:rPr>
          <w:rFonts w:hint="eastAsia" w:ascii="宋体" w:hAnsi="宋体" w:cs="宋体"/>
          <w:szCs w:val="21"/>
        </w:rPr>
        <w:fldChar w:fldCharType="separate"/>
      </w:r>
      <w:r>
        <w:rPr>
          <w:rFonts w:hint="eastAsia" w:ascii="宋体" w:hAnsi="宋体" w:cs="宋体"/>
          <w:szCs w:val="21"/>
        </w:rPr>
        <w:t>http://www.ceitcl.com/）、《中国采招交易网》（网址：http://www.zb80.com/）</w:t>
      </w:r>
      <w:r>
        <w:rPr>
          <w:rFonts w:hint="eastAsia" w:ascii="宋体" w:hAnsi="宋体" w:cs="宋体"/>
          <w:szCs w:val="21"/>
        </w:rPr>
        <w:fldChar w:fldCharType="end"/>
      </w:r>
    </w:p>
    <w:bookmarkEnd w:id="28"/>
    <w:p>
      <w:pPr>
        <w:pStyle w:val="4"/>
        <w:numPr>
          <w:ilvl w:val="0"/>
          <w:numId w:val="6"/>
        </w:numPr>
        <w:spacing w:line="360" w:lineRule="auto"/>
        <w:jc w:val="left"/>
        <w:rPr>
          <w:rFonts w:ascii="宋体" w:hAnsi="宋体" w:eastAsia="宋体" w:cs="宋体"/>
          <w:sz w:val="21"/>
          <w:szCs w:val="21"/>
        </w:rPr>
      </w:pPr>
      <w:bookmarkStart w:id="29" w:name="_Toc21191"/>
      <w:r>
        <w:rPr>
          <w:rFonts w:hint="eastAsia" w:ascii="宋体" w:hAnsi="宋体" w:eastAsia="宋体" w:cs="宋体"/>
          <w:sz w:val="21"/>
          <w:szCs w:val="21"/>
        </w:rPr>
        <w:t>凡对本次采购提出询问，请按以下方式联系</w:t>
      </w:r>
      <w:bookmarkEnd w:id="29"/>
    </w:p>
    <w:p>
      <w:pPr>
        <w:spacing w:line="360" w:lineRule="auto"/>
        <w:ind w:firstLine="420" w:firstLineChars="200"/>
        <w:jc w:val="left"/>
        <w:rPr>
          <w:rFonts w:ascii="宋体" w:hAnsi="宋体" w:cs="宋体"/>
          <w:szCs w:val="21"/>
        </w:rPr>
      </w:pPr>
      <w:r>
        <w:rPr>
          <w:rFonts w:hint="eastAsia" w:ascii="宋体" w:hAnsi="宋体" w:cs="宋体"/>
          <w:szCs w:val="21"/>
        </w:rPr>
        <w:t>1.采购人信息</w:t>
      </w:r>
    </w:p>
    <w:p>
      <w:pPr>
        <w:spacing w:line="360" w:lineRule="auto"/>
        <w:ind w:firstLine="420" w:firstLineChars="200"/>
        <w:jc w:val="left"/>
        <w:rPr>
          <w:rFonts w:ascii="宋体" w:hAnsi="宋体" w:cs="宋体"/>
          <w:szCs w:val="21"/>
        </w:rPr>
      </w:pPr>
      <w:r>
        <w:rPr>
          <w:rFonts w:hint="eastAsia" w:ascii="宋体" w:hAnsi="宋体" w:cs="宋体"/>
          <w:szCs w:val="21"/>
        </w:rPr>
        <w:t>名 称：湖北美术学院　　　　　　　　　　　</w:t>
      </w:r>
    </w:p>
    <w:p>
      <w:pPr>
        <w:spacing w:line="360" w:lineRule="auto"/>
        <w:ind w:firstLine="420" w:firstLineChars="200"/>
        <w:jc w:val="left"/>
        <w:rPr>
          <w:rFonts w:ascii="宋体" w:hAnsi="宋体" w:cs="宋体"/>
          <w:szCs w:val="21"/>
        </w:rPr>
      </w:pPr>
      <w:r>
        <w:rPr>
          <w:rFonts w:hint="eastAsia" w:ascii="宋体" w:hAnsi="宋体" w:cs="宋体"/>
          <w:szCs w:val="21"/>
        </w:rPr>
        <w:t>地 址：武汉市江夏区栗庙路6号　　　　　　　　　</w:t>
      </w:r>
    </w:p>
    <w:p>
      <w:pPr>
        <w:spacing w:line="360" w:lineRule="auto"/>
        <w:ind w:firstLine="420" w:firstLineChars="200"/>
        <w:jc w:val="left"/>
        <w:rPr>
          <w:rFonts w:ascii="宋体" w:hAnsi="宋体" w:cs="宋体"/>
          <w:szCs w:val="21"/>
        </w:rPr>
      </w:pPr>
      <w:r>
        <w:rPr>
          <w:rFonts w:hint="eastAsia" w:ascii="宋体" w:hAnsi="宋体" w:cs="宋体"/>
          <w:szCs w:val="21"/>
        </w:rPr>
        <w:t xml:space="preserve">联系方式：汪老师、027-81318329　　　　　　　　　　　 </w:t>
      </w:r>
    </w:p>
    <w:p>
      <w:pPr>
        <w:spacing w:line="360" w:lineRule="auto"/>
        <w:ind w:firstLine="420" w:firstLineChars="200"/>
        <w:jc w:val="left"/>
        <w:rPr>
          <w:rFonts w:ascii="宋体" w:hAnsi="宋体" w:cs="宋体"/>
          <w:szCs w:val="21"/>
        </w:rPr>
      </w:pPr>
      <w:r>
        <w:rPr>
          <w:rFonts w:hint="eastAsia" w:ascii="宋体" w:hAnsi="宋体" w:cs="宋体"/>
          <w:szCs w:val="21"/>
        </w:rPr>
        <w:t>2.采购代理机构信息</w:t>
      </w:r>
    </w:p>
    <w:p>
      <w:pPr>
        <w:spacing w:line="360" w:lineRule="auto"/>
        <w:ind w:firstLine="420" w:firstLineChars="200"/>
        <w:jc w:val="left"/>
        <w:rPr>
          <w:rFonts w:ascii="宋体" w:hAnsi="宋体" w:cs="宋体"/>
          <w:szCs w:val="21"/>
        </w:rPr>
      </w:pPr>
      <w:r>
        <w:rPr>
          <w:rFonts w:hint="eastAsia" w:ascii="宋体" w:hAnsi="宋体" w:cs="宋体"/>
          <w:szCs w:val="21"/>
        </w:rPr>
        <w:t>名  称：中经国际招标集团有限公司　　　　　　　　　　　　</w:t>
      </w:r>
    </w:p>
    <w:p>
      <w:pPr>
        <w:spacing w:line="360" w:lineRule="auto"/>
        <w:ind w:firstLine="420" w:firstLineChars="200"/>
        <w:jc w:val="left"/>
        <w:rPr>
          <w:rFonts w:ascii="宋体" w:hAnsi="宋体" w:cs="宋体"/>
          <w:szCs w:val="21"/>
        </w:rPr>
      </w:pPr>
      <w:r>
        <w:rPr>
          <w:rFonts w:hint="eastAsia" w:ascii="宋体" w:hAnsi="宋体" w:cs="宋体"/>
          <w:szCs w:val="21"/>
        </w:rPr>
        <w:t>地　址：武昌区中北路岳家嘴立交山河企业大厦488楼4805、4806室　　　　　　　　　　　　</w:t>
      </w:r>
    </w:p>
    <w:p>
      <w:pPr>
        <w:spacing w:line="360" w:lineRule="auto"/>
        <w:ind w:firstLine="420" w:firstLineChars="200"/>
        <w:jc w:val="left"/>
        <w:rPr>
          <w:rFonts w:ascii="宋体" w:hAnsi="宋体" w:cs="宋体"/>
          <w:szCs w:val="21"/>
        </w:rPr>
      </w:pPr>
      <w:r>
        <w:rPr>
          <w:rFonts w:hint="eastAsia" w:ascii="宋体" w:hAnsi="宋体" w:cs="宋体"/>
          <w:szCs w:val="21"/>
        </w:rPr>
        <w:t>联系方式：027-87820788　　　　　　　　　　　　</w:t>
      </w:r>
    </w:p>
    <w:p>
      <w:pPr>
        <w:spacing w:line="360" w:lineRule="auto"/>
        <w:ind w:firstLine="420" w:firstLineChars="200"/>
        <w:jc w:val="left"/>
        <w:rPr>
          <w:rFonts w:ascii="宋体" w:hAnsi="宋体" w:cs="宋体"/>
          <w:szCs w:val="21"/>
        </w:rPr>
      </w:pPr>
      <w:r>
        <w:rPr>
          <w:rFonts w:hint="eastAsia" w:ascii="宋体" w:hAnsi="宋体" w:cs="宋体"/>
          <w:szCs w:val="21"/>
        </w:rPr>
        <w:t>3.项目联系方式</w:t>
      </w:r>
    </w:p>
    <w:p>
      <w:pPr>
        <w:spacing w:line="360" w:lineRule="auto"/>
        <w:ind w:firstLine="420" w:firstLineChars="200"/>
        <w:jc w:val="left"/>
        <w:rPr>
          <w:rFonts w:ascii="宋体" w:hAnsi="宋体" w:cs="宋体"/>
          <w:szCs w:val="21"/>
        </w:rPr>
      </w:pPr>
      <w:r>
        <w:rPr>
          <w:rFonts w:hint="eastAsia" w:ascii="宋体" w:hAnsi="宋体" w:cs="宋体"/>
          <w:szCs w:val="21"/>
        </w:rPr>
        <w:t>项目联系人：张梦、彭盼明</w:t>
      </w:r>
    </w:p>
    <w:p>
      <w:pPr>
        <w:spacing w:line="360" w:lineRule="auto"/>
        <w:ind w:firstLine="420" w:firstLineChars="200"/>
        <w:jc w:val="left"/>
        <w:rPr>
          <w:rFonts w:asciiTheme="minorEastAsia" w:hAnsiTheme="minorEastAsia" w:eastAsiaTheme="minorEastAsia" w:cstheme="minorEastAsia"/>
          <w:szCs w:val="21"/>
        </w:rPr>
      </w:pPr>
      <w:r>
        <w:rPr>
          <w:rFonts w:hint="eastAsia" w:ascii="宋体" w:hAnsi="宋体" w:cs="宋体"/>
          <w:szCs w:val="21"/>
        </w:rPr>
        <w:t>电    　话：027-87820788　　</w:t>
      </w:r>
    </w:p>
    <w:p>
      <w:pPr>
        <w:pStyle w:val="4"/>
        <w:numPr>
          <w:ilvl w:val="0"/>
          <w:numId w:val="6"/>
        </w:numPr>
        <w:spacing w:line="36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Start w:id="30" w:name="_Toc13299"/>
      <w:bookmarkStart w:id="31" w:name="_Toc24714"/>
      <w:r>
        <w:rPr>
          <w:rFonts w:hint="eastAsia" w:asciiTheme="minorEastAsia" w:hAnsiTheme="minorEastAsia" w:eastAsiaTheme="minorEastAsia" w:cstheme="minorEastAsia"/>
          <w:sz w:val="21"/>
          <w:szCs w:val="21"/>
        </w:rPr>
        <w:t>注意事项</w:t>
      </w:r>
      <w:bookmarkEnd w:id="30"/>
      <w:bookmarkEnd w:id="31"/>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1、供应商在获取本项目竞争性磋商文件前须仔细阅读资格要求内容，并按磋商文件规定要求在响应文件中递交合格有效的资格证明文件，资格审查不合格将导致竞标失败。</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rPr>
          <w:rFonts w:asciiTheme="minorEastAsia" w:hAnsiTheme="minorEastAsia" w:eastAsiaTheme="minorEastAsia" w:cstheme="minorEastAsia"/>
        </w:rPr>
      </w:pP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2020年</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日</w:t>
      </w:r>
    </w:p>
    <w:p>
      <w:pPr>
        <w:numPr>
          <w:ilvl w:val="0"/>
          <w:numId w:val="4"/>
        </w:num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asciiTheme="minorEastAsia" w:hAnsiTheme="minorEastAsia" w:eastAsiaTheme="minorEastAsia" w:cstheme="minorEastAsia"/>
          <w:sz w:val="32"/>
          <w:szCs w:val="32"/>
        </w:rPr>
      </w:pPr>
      <w:bookmarkStart w:id="32" w:name="_Toc19044"/>
      <w:r>
        <w:rPr>
          <w:rFonts w:hint="eastAsia" w:asciiTheme="minorEastAsia" w:hAnsiTheme="minorEastAsia" w:eastAsiaTheme="minorEastAsia" w:cstheme="minorEastAsia"/>
          <w:sz w:val="36"/>
          <w:szCs w:val="36"/>
        </w:rPr>
        <w:t>供应商须知</w:t>
      </w:r>
      <w:bookmarkEnd w:id="32"/>
    </w:p>
    <w:p>
      <w:pPr>
        <w:autoSpaceDE w:val="0"/>
        <w:autoSpaceDN w:val="0"/>
        <w:adjustRightInd w:val="0"/>
        <w:spacing w:line="360" w:lineRule="auto"/>
        <w:jc w:val="center"/>
        <w:outlineLvl w:val="1"/>
        <w:rPr>
          <w:rFonts w:asciiTheme="minorEastAsia" w:hAnsiTheme="minorEastAsia" w:eastAsiaTheme="minorEastAsia" w:cstheme="minorEastAsia"/>
          <w:b/>
          <w:szCs w:val="21"/>
          <w:lang w:val="zh-CN"/>
        </w:rPr>
      </w:pPr>
      <w:bookmarkStart w:id="33" w:name="_Toc21280"/>
      <w:r>
        <w:rPr>
          <w:rFonts w:hint="eastAsia" w:asciiTheme="minorEastAsia" w:hAnsiTheme="minorEastAsia" w:eastAsiaTheme="minorEastAsia" w:cstheme="minorEastAsia"/>
          <w:b/>
          <w:szCs w:val="21"/>
        </w:rPr>
        <w:t>《供应商须知前附表》</w:t>
      </w:r>
      <w:bookmarkEnd w:id="33"/>
    </w:p>
    <w:p>
      <w:pPr>
        <w:autoSpaceDE w:val="0"/>
        <w:autoSpaceDN w:val="0"/>
        <w:adjustRightInd w:val="0"/>
        <w:spacing w:line="360" w:lineRule="auto"/>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条款号</w:t>
            </w:r>
          </w:p>
        </w:tc>
        <w:tc>
          <w:tcPr>
            <w:tcW w:w="2127" w:type="dxa"/>
            <w:shd w:val="clear" w:color="auto" w:fill="F1F1F1"/>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条款名称</w:t>
            </w:r>
          </w:p>
        </w:tc>
        <w:tc>
          <w:tcPr>
            <w:tcW w:w="6130" w:type="dxa"/>
            <w:shd w:val="clear" w:color="auto" w:fill="F1F1F1"/>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2.1</w:t>
            </w:r>
          </w:p>
        </w:tc>
        <w:tc>
          <w:tcPr>
            <w:tcW w:w="2127"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采购人</w:t>
            </w:r>
          </w:p>
        </w:tc>
        <w:tc>
          <w:tcPr>
            <w:tcW w:w="6130" w:type="dxa"/>
            <w:vAlign w:val="center"/>
          </w:tcPr>
          <w:p>
            <w:pPr>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湖北美术学院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2127" w:type="dxa"/>
            <w:vAlign w:val="center"/>
          </w:tcPr>
          <w:p>
            <w:pPr>
              <w:pStyle w:val="24"/>
              <w:widowControl w:val="0"/>
              <w:autoSpaceDE w:val="0"/>
              <w:autoSpaceDN w:val="0"/>
              <w:adjustRightInd w:val="0"/>
              <w:spacing w:before="0" w:beforeAutospacing="0" w:after="0" w:afterAutospacing="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监管部门</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湖北美术学院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2127"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采购代理机构</w:t>
            </w:r>
          </w:p>
        </w:tc>
        <w:tc>
          <w:tcPr>
            <w:tcW w:w="6130"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2.5</w:t>
            </w:r>
          </w:p>
        </w:tc>
        <w:tc>
          <w:tcPr>
            <w:tcW w:w="2127"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磋商供应商</w:t>
            </w:r>
          </w:p>
        </w:tc>
        <w:tc>
          <w:tcPr>
            <w:tcW w:w="6130" w:type="dxa"/>
            <w:vAlign w:val="center"/>
          </w:tcPr>
          <w:p>
            <w:pPr>
              <w:pStyle w:val="24"/>
              <w:widowControl w:val="0"/>
              <w:autoSpaceDE w:val="0"/>
              <w:autoSpaceDN w:val="0"/>
              <w:adjustRightInd w:val="0"/>
              <w:spacing w:before="31" w:beforeLines="10" w:beforeAutospacing="0" w:after="31" w:afterLines="10" w:afterAutospacing="0"/>
              <w:ind w:right="21" w:rightChars="10"/>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sz w:val="21"/>
                <w:szCs w:val="21"/>
                <w:lang w:val="zh-CN"/>
              </w:rPr>
              <w:t>详见</w:t>
            </w:r>
            <w:r>
              <w:rPr>
                <w:rFonts w:asciiTheme="minorEastAsia" w:hAnsiTheme="minorEastAsia" w:eastAsiaTheme="minorEastAsia" w:cstheme="minorEastAsia"/>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4.2</w:t>
            </w:r>
          </w:p>
        </w:tc>
        <w:tc>
          <w:tcPr>
            <w:tcW w:w="2127" w:type="dxa"/>
            <w:vAlign w:val="center"/>
          </w:tcPr>
          <w:p>
            <w:pPr>
              <w:autoSpaceDE w:val="0"/>
              <w:autoSpaceDN w:val="0"/>
              <w:adjustRightIn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招标代理服务费</w:t>
            </w:r>
          </w:p>
        </w:tc>
        <w:tc>
          <w:tcPr>
            <w:tcW w:w="6130" w:type="dxa"/>
            <w:vAlign w:val="center"/>
          </w:tcPr>
          <w:p>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根据国家发展与改革委员会办公厅发改办价格【2003】857号文的规定，经与采购人协商，由中标人按国家发展计划委员会计价格【2002】1980号文规定的取费标准的7</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%向采购代理机构支付招标代理服务费。招标代理服务费由中标人在领取成交通知书的同时，向采购代理机构支付。不足叁仟元按叁仟元保底收费计取。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6.2</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提疑截止时间</w:t>
            </w:r>
          </w:p>
        </w:tc>
        <w:tc>
          <w:tcPr>
            <w:tcW w:w="6130" w:type="dxa"/>
            <w:vAlign w:val="center"/>
          </w:tcPr>
          <w:p>
            <w:pPr>
              <w:pStyle w:val="24"/>
              <w:widowControl w:val="0"/>
              <w:autoSpaceDE w:val="0"/>
              <w:autoSpaceDN w:val="0"/>
              <w:adjustRightInd w:val="0"/>
              <w:spacing w:before="31" w:beforeLines="10" w:beforeAutospacing="0" w:after="31" w:afterLines="10" w:afterAutospacing="0"/>
              <w:ind w:right="21" w:rightChars="10"/>
              <w:rPr>
                <w:rFonts w:hint="default" w:asciiTheme="minorEastAsia" w:hAnsiTheme="minorEastAsia" w:eastAsiaTheme="minorEastAsia" w:cstheme="minorEastAsia"/>
                <w:sz w:val="21"/>
                <w:szCs w:val="21"/>
                <w:lang w:val="zh-CN"/>
              </w:rPr>
            </w:pPr>
            <w:r>
              <w:rPr>
                <w:rFonts w:asciiTheme="minorEastAsia" w:hAnsiTheme="minorEastAsia" w:eastAsiaTheme="minorEastAsia" w:cstheme="minorEastAsia"/>
                <w:sz w:val="21"/>
                <w:szCs w:val="21"/>
              </w:rPr>
              <w:t>供应商</w:t>
            </w:r>
            <w:r>
              <w:rPr>
                <w:rFonts w:asciiTheme="minorEastAsia" w:hAnsiTheme="minorEastAsia" w:eastAsiaTheme="minorEastAsia" w:cstheme="minorEastAsia"/>
                <w:sz w:val="21"/>
                <w:szCs w:val="21"/>
                <w:lang w:val="zh-CN"/>
              </w:rPr>
              <w:t>对</w:t>
            </w:r>
            <w:r>
              <w:rPr>
                <w:rFonts w:asciiTheme="minorEastAsia" w:hAnsiTheme="minorEastAsia" w:eastAsiaTheme="minorEastAsia" w:cstheme="minorEastAsia"/>
                <w:sz w:val="21"/>
                <w:szCs w:val="21"/>
              </w:rPr>
              <w:t>磋商</w:t>
            </w:r>
            <w:r>
              <w:rPr>
                <w:rFonts w:asciiTheme="minorEastAsia" w:hAnsiTheme="minorEastAsia" w:eastAsiaTheme="minorEastAsia" w:cstheme="minorEastAsia"/>
                <w:sz w:val="21"/>
                <w:szCs w:val="21"/>
                <w:lang w:val="zh-CN"/>
              </w:rPr>
              <w:t>文件有异议</w:t>
            </w:r>
            <w:r>
              <w:rPr>
                <w:rFonts w:asciiTheme="minorEastAsia" w:hAnsiTheme="minorEastAsia" w:eastAsiaTheme="minorEastAsia" w:cstheme="minorEastAsia"/>
                <w:sz w:val="21"/>
                <w:szCs w:val="21"/>
              </w:rPr>
              <w:t>或疑问</w:t>
            </w:r>
            <w:r>
              <w:rPr>
                <w:rFonts w:asciiTheme="minorEastAsia" w:hAnsiTheme="minorEastAsia" w:eastAsiaTheme="minorEastAsia" w:cstheme="minorEastAsia"/>
                <w:sz w:val="21"/>
                <w:szCs w:val="21"/>
                <w:lang w:val="zh-CN"/>
              </w:rPr>
              <w:t>的，均应以书面形式在</w:t>
            </w:r>
          </w:p>
          <w:p>
            <w:pPr>
              <w:pStyle w:val="24"/>
              <w:widowControl w:val="0"/>
              <w:autoSpaceDE w:val="0"/>
              <w:autoSpaceDN w:val="0"/>
              <w:adjustRightInd w:val="0"/>
              <w:spacing w:before="31" w:beforeLines="10" w:beforeAutospacing="0" w:after="31" w:afterLines="10" w:afterAutospacing="0"/>
              <w:ind w:right="21" w:rightChars="10"/>
              <w:rPr>
                <w:rFonts w:hint="default" w:asciiTheme="minorEastAsia" w:hAnsiTheme="minorEastAsia" w:eastAsiaTheme="minorEastAsia" w:cstheme="minorEastAsia"/>
                <w:sz w:val="21"/>
                <w:szCs w:val="21"/>
                <w:lang w:val="zh-CN"/>
              </w:rPr>
            </w:pPr>
            <w:r>
              <w:rPr>
                <w:rFonts w:asciiTheme="minorEastAsia" w:hAnsiTheme="minorEastAsia" w:eastAsiaTheme="minorEastAsia" w:cstheme="minorEastAsia"/>
                <w:sz w:val="21"/>
                <w:szCs w:val="21"/>
                <w:lang w:val="zh-CN"/>
              </w:rPr>
              <w:t>2020年</w:t>
            </w:r>
            <w:r>
              <w:rPr>
                <w:rFonts w:hint="eastAsia" w:asciiTheme="minorEastAsia" w:hAnsiTheme="minorEastAsia" w:eastAsiaTheme="minorEastAsia" w:cstheme="minorEastAsia"/>
                <w:sz w:val="21"/>
                <w:szCs w:val="21"/>
                <w:lang w:val="en-US" w:eastAsia="zh-CN"/>
              </w:rPr>
              <w:t>7</w:t>
            </w:r>
            <w:r>
              <w:rPr>
                <w:rFonts w:asciiTheme="minorEastAsia" w:hAnsiTheme="minorEastAsia" w:eastAsiaTheme="minorEastAsia" w:cstheme="minorEastAsia"/>
                <w:sz w:val="21"/>
                <w:szCs w:val="21"/>
                <w:lang w:val="zh-CN"/>
              </w:rPr>
              <w:t>月</w:t>
            </w:r>
            <w:r>
              <w:rPr>
                <w:rFonts w:hint="eastAsia" w:asciiTheme="minorEastAsia" w:hAnsiTheme="minorEastAsia" w:eastAsiaTheme="minorEastAsia" w:cstheme="minorEastAsia"/>
                <w:sz w:val="21"/>
                <w:szCs w:val="21"/>
                <w:lang w:val="en-US" w:eastAsia="zh-CN"/>
              </w:rPr>
              <w:t>23</w:t>
            </w:r>
            <w:r>
              <w:rPr>
                <w:rFonts w:asciiTheme="minorEastAsia" w:hAnsiTheme="minorEastAsia" w:eastAsiaTheme="minorEastAsia" w:cstheme="minorEastAsia"/>
                <w:sz w:val="21"/>
                <w:szCs w:val="21"/>
                <w:lang w:val="zh-CN"/>
              </w:rPr>
              <w:t>日</w:t>
            </w:r>
            <w:r>
              <w:rPr>
                <w:rFonts w:asciiTheme="minorEastAsia" w:hAnsiTheme="minorEastAsia" w:eastAsiaTheme="minorEastAsia" w:cstheme="minorEastAsia"/>
                <w:sz w:val="21"/>
                <w:szCs w:val="21"/>
              </w:rPr>
              <w:t>17</w:t>
            </w:r>
            <w:r>
              <w:rPr>
                <w:rFonts w:asciiTheme="minorEastAsia" w:hAnsiTheme="minorEastAsia" w:eastAsiaTheme="minorEastAsia" w:cstheme="minorEastAsia"/>
                <w:sz w:val="21"/>
                <w:szCs w:val="21"/>
                <w:lang w:val="zh-CN"/>
              </w:rPr>
              <w:t>:</w:t>
            </w:r>
            <w:r>
              <w:rPr>
                <w:rFonts w:asciiTheme="minorEastAsia" w:hAnsiTheme="minorEastAsia" w:eastAsiaTheme="minorEastAsia" w:cstheme="minorEastAsia"/>
                <w:sz w:val="21"/>
                <w:szCs w:val="21"/>
              </w:rPr>
              <w:t>0</w:t>
            </w:r>
            <w:r>
              <w:rPr>
                <w:rFonts w:asciiTheme="minorEastAsia" w:hAnsiTheme="minorEastAsia" w:eastAsiaTheme="minorEastAsia" w:cstheme="minorEastAsia"/>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7.1</w:t>
            </w:r>
          </w:p>
        </w:tc>
        <w:tc>
          <w:tcPr>
            <w:tcW w:w="2127" w:type="dxa"/>
            <w:vAlign w:val="center"/>
          </w:tcPr>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供应商确认收到磋商</w:t>
            </w:r>
          </w:p>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文件澄清或者修改的</w:t>
            </w:r>
          </w:p>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时间</w:t>
            </w:r>
          </w:p>
        </w:tc>
        <w:tc>
          <w:tcPr>
            <w:tcW w:w="6130" w:type="dxa"/>
            <w:vAlign w:val="center"/>
          </w:tcPr>
          <w:p>
            <w:pPr>
              <w:pStyle w:val="24"/>
              <w:widowControl w:val="0"/>
              <w:autoSpaceDE w:val="0"/>
              <w:autoSpaceDN w:val="0"/>
              <w:adjustRightInd w:val="0"/>
              <w:spacing w:before="31" w:beforeLines="10" w:beforeAutospacing="0" w:after="31" w:afterLines="10" w:afterAutospacing="0"/>
              <w:ind w:right="21" w:rightChars="10"/>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w:t>
            </w:r>
          </w:p>
        </w:tc>
        <w:tc>
          <w:tcPr>
            <w:tcW w:w="2127" w:type="dxa"/>
            <w:vAlign w:val="center"/>
          </w:tcPr>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对多</w:t>
            </w:r>
            <w:r>
              <w:rPr>
                <w:rFonts w:hint="eastAsia" w:asciiTheme="minorEastAsia" w:hAnsiTheme="minorEastAsia" w:eastAsiaTheme="minorEastAsia" w:cstheme="minorEastAsia"/>
                <w:snapToGrid w:val="0"/>
                <w:kern w:val="0"/>
                <w:szCs w:val="21"/>
              </w:rPr>
              <w:t>包</w:t>
            </w:r>
            <w:r>
              <w:rPr>
                <w:rFonts w:hint="eastAsia" w:asciiTheme="minorEastAsia" w:hAnsiTheme="minorEastAsia" w:eastAsiaTheme="minorEastAsia" w:cstheme="minorEastAsia"/>
                <w:snapToGrid w:val="0"/>
                <w:kern w:val="0"/>
                <w:szCs w:val="21"/>
                <w:lang w:val="zh-CN"/>
              </w:rPr>
              <w:t>采购的规定</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详见</w:t>
            </w:r>
            <w:r>
              <w:rPr>
                <w:rFonts w:hint="eastAsia" w:asciiTheme="minorEastAsia" w:hAnsiTheme="minorEastAsia" w:eastAsiaTheme="minorEastAsia" w:cstheme="minorEastAsia"/>
                <w:szCs w:val="21"/>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12.1</w:t>
            </w:r>
          </w:p>
        </w:tc>
        <w:tc>
          <w:tcPr>
            <w:tcW w:w="2127" w:type="dxa"/>
            <w:vAlign w:val="center"/>
          </w:tcPr>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备选方案</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本次采购  </w:t>
            </w:r>
            <w:r>
              <w:rPr>
                <w:rFonts w:hint="eastAsia" w:asciiTheme="minorEastAsia" w:hAnsiTheme="minorEastAsia" w:eastAsiaTheme="minorEastAsia" w:cstheme="minorEastAsia"/>
                <w:szCs w:val="21"/>
                <w:u w:val="single"/>
                <w:lang w:val="zh-CN"/>
              </w:rPr>
              <w:t>不接受</w:t>
            </w:r>
            <w:r>
              <w:rPr>
                <w:rFonts w:hint="eastAsia" w:asciiTheme="minorEastAsia" w:hAnsiTheme="minorEastAsia" w:eastAsiaTheme="minorEastAsia" w:cstheme="minorEastAsia"/>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13.1</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联合体磋商</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本次采购  </w:t>
            </w:r>
            <w:r>
              <w:rPr>
                <w:rFonts w:hint="eastAsia" w:asciiTheme="minorEastAsia" w:hAnsiTheme="minorEastAsia" w:eastAsiaTheme="minorEastAsia" w:cstheme="minorEastAsia"/>
                <w:szCs w:val="21"/>
                <w:u w:val="single"/>
                <w:lang w:val="zh-CN"/>
              </w:rPr>
              <w:t>不接受</w:t>
            </w:r>
            <w:r>
              <w:rPr>
                <w:rFonts w:hint="eastAsia" w:asciiTheme="minorEastAsia" w:hAnsiTheme="minorEastAsia" w:eastAsiaTheme="minorEastAsia" w:cstheme="minorEastAsia"/>
                <w:szCs w:val="21"/>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w:t>
            </w:r>
          </w:p>
        </w:tc>
        <w:tc>
          <w:tcPr>
            <w:tcW w:w="2127" w:type="dxa"/>
            <w:vAlign w:val="center"/>
          </w:tcPr>
          <w:p>
            <w:pPr>
              <w:autoSpaceDE w:val="0"/>
              <w:autoSpaceDN w:val="0"/>
              <w:adjustRightInd w:val="0"/>
              <w:jc w:val="cente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b/>
                <w:bCs/>
                <w:szCs w:val="21"/>
                <w:lang w:val="zh-CN"/>
              </w:rPr>
              <w:t>应提交的其它资格证明文件（实质性要求）</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详见第一章《</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szCs w:val="21"/>
                <w:lang w:val="zh-CN"/>
              </w:rPr>
              <w:t>公告》第二款“资格要求”，须提供的证明文件包括但不限于：</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1、具有独立承担民事责任的能力（经营范围需满足采购需求）；</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2、具有良好的商业信誉和健全的财务会计制度；</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良好的商业信誉证明材料（自拟），财务会计制度指财务状况报告（供应商是法人的，应提供前一年度经审计的财务报告，或其基本开户银行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3、具有履行合同所必需的设备和专业技术能力的证明材料；（自拟）</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具有依法缴纳税收和社会保障资金的良好记录：（1）供应商依法缴纳税收的证明材料：投标截止时间往前推算连续六个月（至少三个月）缴纳税收的凭据（完税证明、缴款书、银行代扣（代缴）转账凭证等均可）；（2）供应商依法缴纳社会保障资金的证明材料：投标截止时间往前推算连续六个月（至少三个月）缴纳社会保险的凭据（专用发票或社会保险缴纳清单）；（3）供应商为其他组织或自然人的，也需要按此项规定提供缴纳税收的凭据和缴纳社会保险的凭据；（4）递交投标文件截止时间当月成立但因税务机关原因导致其尚未依法缴纳税收的供应商，提供依法缴纳税收承诺书原件（格式自拟），该承诺书视同税收缴纳凭据。（5）递交投标文件截止时间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5、参加政府采购活动前三年内，在经营活动中没有重大违法记录；（提供书面声明）（重大违法记录是指供应商因违法经营受到刑事处罚或者责令停产停业、吊销许可证或者执照、较大数额罚款等行政处罚）</w:t>
            </w:r>
          </w:p>
          <w:p>
            <w:pPr>
              <w:autoSpaceDE w:val="0"/>
              <w:autoSpaceDN w:val="0"/>
              <w:adjustRightInd w:val="0"/>
              <w:jc w:val="lef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6、符合本文件第一章第二款资格要求的所有证明资料。</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b/>
                <w:bCs/>
                <w:szCs w:val="21"/>
                <w:lang w:val="zh-CN"/>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供应商不得存在的其他情形</w:t>
            </w:r>
          </w:p>
        </w:tc>
        <w:tc>
          <w:tcPr>
            <w:tcW w:w="6130" w:type="dxa"/>
            <w:vAlign w:val="center"/>
          </w:tcPr>
          <w:p>
            <w:pPr>
              <w:numPr>
                <w:ilvl w:val="0"/>
                <w:numId w:val="1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numPr>
                <w:ilvl w:val="0"/>
                <w:numId w:val="1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15.1</w:t>
            </w:r>
          </w:p>
        </w:tc>
        <w:tc>
          <w:tcPr>
            <w:tcW w:w="2127"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证明响应内容符合竞争性磋商采购文件要求的文件和竞争性磋商采购文件规定的其他资料</w:t>
            </w:r>
          </w:p>
        </w:tc>
        <w:tc>
          <w:tcPr>
            <w:tcW w:w="6130"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16.1</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磋商保证金金额、递交方式、时间及接受磋商保证金的帐户信息</w:t>
            </w:r>
            <w:r>
              <w:rPr>
                <w:rFonts w:hint="eastAsia" w:asciiTheme="minorEastAsia" w:hAnsiTheme="minorEastAsia" w:eastAsiaTheme="minorEastAsia" w:cstheme="minorEastAsia"/>
                <w:b/>
                <w:bCs/>
                <w:snapToGrid w:val="0"/>
                <w:kern w:val="0"/>
                <w:szCs w:val="21"/>
                <w:lang w:val="zh-CN"/>
              </w:rPr>
              <w:t>（</w:t>
            </w:r>
            <w:r>
              <w:rPr>
                <w:rFonts w:hint="eastAsia" w:asciiTheme="minorEastAsia" w:hAnsiTheme="minorEastAsia" w:eastAsiaTheme="minorEastAsia" w:cstheme="minorEastAsia"/>
                <w:b/>
                <w:bCs/>
                <w:snapToGrid w:val="0"/>
                <w:kern w:val="0"/>
                <w:szCs w:val="21"/>
              </w:rPr>
              <w:t>本项目不适用</w:t>
            </w:r>
            <w:r>
              <w:rPr>
                <w:rFonts w:hint="eastAsia" w:asciiTheme="minorEastAsia" w:hAnsiTheme="minorEastAsia" w:eastAsiaTheme="minorEastAsia" w:cstheme="minorEastAsia"/>
                <w:b/>
                <w:bCs/>
                <w:snapToGrid w:val="0"/>
                <w:kern w:val="0"/>
                <w:szCs w:val="21"/>
                <w:lang w:val="zh-CN"/>
              </w:rPr>
              <w:t>）</w:t>
            </w:r>
          </w:p>
        </w:tc>
        <w:tc>
          <w:tcPr>
            <w:tcW w:w="6130" w:type="dxa"/>
            <w:vAlign w:val="center"/>
          </w:tcPr>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金    额： /</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户    名：中经国际招标集团有限公司湖北分公司</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开户银行：中国农业银行股份有限公司武汉岳家嘴支行</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帐    号：17053001040009288</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供应商缴纳投标保证金必须从供应商的基本帐户以支票、汇票、本票、电汇或者金融机构、担保机构出具的保函等非现金形式一次性汇至中经国际招标集团有限公司湖北分公司专用账户,截止时间为递交响应文件截止时间，以采购代理公司银行到账信息为准。成交供应商签订合同后须将合同扫描件（PDF版）发送至2102252595@qq.com邮箱备案后方可退还保证金。</w: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17.1</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kern w:val="0"/>
                <w:szCs w:val="21"/>
              </w:rPr>
              <w:t>自磋商截止时间起共</w:t>
            </w:r>
            <w:r>
              <w:rPr>
                <w:rFonts w:hint="eastAsia" w:asciiTheme="minorEastAsia" w:hAnsiTheme="minorEastAsia" w:eastAsiaTheme="minorEastAsia" w:cstheme="minorEastAsia"/>
                <w:kern w:val="0"/>
                <w:szCs w:val="21"/>
                <w:u w:val="single"/>
              </w:rPr>
              <w:t xml:space="preserve"> 90 </w:t>
            </w:r>
            <w:r>
              <w:rPr>
                <w:rFonts w:hint="eastAsia" w:asciiTheme="minorEastAsia" w:hAnsiTheme="minorEastAsia" w:eastAsiaTheme="minorEastAsia" w:cstheme="minorEastAsia"/>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18.1</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竞争性磋商响应文件正、副本数量</w:t>
            </w:r>
          </w:p>
        </w:tc>
        <w:tc>
          <w:tcPr>
            <w:tcW w:w="6130" w:type="dxa"/>
            <w:vAlign w:val="center"/>
          </w:tcPr>
          <w:p>
            <w:pPr>
              <w:autoSpaceDE w:val="0"/>
              <w:autoSpaceDN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1、投标文件纸质版：正本一份（需为彩色打印件），副本</w:t>
            </w:r>
            <w:r>
              <w:rPr>
                <w:rFonts w:hint="eastAsia" w:asciiTheme="minorEastAsia" w:hAnsiTheme="minorEastAsia" w:eastAsiaTheme="minorEastAsia" w:cstheme="minorEastAsia"/>
                <w:szCs w:val="21"/>
                <w:u w:val="single"/>
              </w:rPr>
              <w:t xml:space="preserve"> 两 </w:t>
            </w:r>
            <w:r>
              <w:rPr>
                <w:rFonts w:hint="eastAsia" w:asciiTheme="minorEastAsia" w:hAnsiTheme="minorEastAsia" w:eastAsiaTheme="minorEastAsia" w:cstheme="minorEastAsia"/>
                <w:szCs w:val="21"/>
              </w:rPr>
              <w:t>份；</w:t>
            </w:r>
          </w:p>
          <w:p>
            <w:pPr>
              <w:autoSpaceDE w:val="0"/>
              <w:autoSpaceDN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2、投标文件电子版：</w:t>
            </w:r>
          </w:p>
          <w:p>
            <w:pPr>
              <w:autoSpaceDE w:val="0"/>
              <w:autoSpaceDN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□不要求</w:t>
            </w:r>
          </w:p>
          <w:p>
            <w:pPr>
              <w:autoSpaceDE w:val="0"/>
              <w:autoSpaceDN w:val="0"/>
              <w:snapToGrid w:val="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bdr w:val="single" w:color="auto" w:sz="4" w:space="0"/>
              </w:rPr>
              <w:t>√</w:t>
            </w:r>
            <w:r>
              <w:rPr>
                <w:rFonts w:hint="eastAsia" w:asciiTheme="minorEastAsia" w:hAnsiTheme="minorEastAsia" w:eastAsiaTheme="minorEastAsia" w:cstheme="minorEastAsia"/>
                <w:szCs w:val="21"/>
              </w:rPr>
              <w:t>要求，投标文件电子版内容：</w:t>
            </w:r>
            <w:r>
              <w:rPr>
                <w:rFonts w:hint="eastAsia" w:asciiTheme="minorEastAsia" w:hAnsiTheme="minorEastAsia" w:eastAsiaTheme="minorEastAsia" w:cstheme="minorEastAsia"/>
                <w:szCs w:val="21"/>
                <w:u w:val="single"/>
              </w:rPr>
              <w:t>与正本保持一致</w:t>
            </w:r>
          </w:p>
          <w:p>
            <w:pPr>
              <w:autoSpaceDE w:val="0"/>
              <w:autoSpaceDN w:val="0"/>
              <w:snapToGrid w:val="0"/>
              <w:ind w:firstLine="840" w:firstLineChars="4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shd w:val="clear" w:color="auto" w:fill="FFFFFF"/>
              </w:rPr>
              <w:t>投标文件电子版格式：</w:t>
            </w:r>
            <w:r>
              <w:rPr>
                <w:rFonts w:hint="eastAsia" w:asciiTheme="minorEastAsia" w:hAnsiTheme="minorEastAsia" w:eastAsiaTheme="minorEastAsia" w:cstheme="minorEastAsia"/>
                <w:szCs w:val="21"/>
                <w:u w:val="single"/>
              </w:rPr>
              <w:t>加盖公章后的PDF扫描件格式；</w:t>
            </w:r>
          </w:p>
          <w:p>
            <w:pPr>
              <w:autoSpaceDE w:val="0"/>
              <w:autoSpaceDN w:val="0"/>
              <w:adjustRightInd w:val="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投标文件电子版形式：</w:t>
            </w:r>
            <w:r>
              <w:rPr>
                <w:rFonts w:hint="eastAsia" w:asciiTheme="minorEastAsia" w:hAnsiTheme="minorEastAsia" w:eastAsiaTheme="minorEastAsia" w:cstheme="minorEastAsia"/>
                <w:szCs w:val="21"/>
                <w:u w:val="single"/>
              </w:rPr>
              <w:t xml:space="preserve"> U盘1份</w:t>
            </w:r>
          </w:p>
          <w:p>
            <w:pPr>
              <w:autoSpaceDE w:val="0"/>
              <w:autoSpaceDN w:val="0"/>
              <w:adjustRightInd w:val="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3、手持法定代表人授权委托书（或法定代表人身份证明书）、单独密封提供的报价一览表、优惠声明（如有）；</w:t>
            </w:r>
          </w:p>
          <w:p>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所有响应文件概不退还，响应文件按包分开制作，分开密封。</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纸质投标文件应采用胶粘方</w:t>
            </w:r>
            <w:r>
              <w:rPr>
                <w:rFonts w:hint="eastAsia" w:asciiTheme="minorEastAsia" w:hAnsiTheme="minorEastAsia" w:eastAsiaTheme="minorEastAsia" w:cstheme="minorEastAsia"/>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rPr>
              <w:t>19.1</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竞争性磋商响应文件的密封和标记</w:t>
            </w:r>
          </w:p>
        </w:tc>
        <w:tc>
          <w:tcPr>
            <w:tcW w:w="6130" w:type="dxa"/>
            <w:vAlign w:val="center"/>
          </w:tcPr>
          <w:p>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本条款细化为：响应文件正本需逐页加盖供应商单位公章，不得使用单位其他专用章代替。因签字盖章问题导致的响应材料被否决或竞标受影响的情况，其后果供应商自行承担。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19.4</w:t>
            </w:r>
          </w:p>
        </w:tc>
        <w:tc>
          <w:tcPr>
            <w:tcW w:w="2127"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样品</w:t>
            </w:r>
          </w:p>
        </w:tc>
        <w:tc>
          <w:tcPr>
            <w:tcW w:w="6130" w:type="dxa"/>
            <w:vAlign w:val="center"/>
          </w:tcPr>
          <w:p>
            <w:pPr>
              <w:autoSpaceDE w:val="0"/>
              <w:autoSpaceDN w:val="0"/>
              <w:adjustRightInd w:val="0"/>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提交样品的相关规定：要求在磋商时提交样品的，应在样品上标明磋商供应商名称。</w:t>
            </w:r>
            <w:r>
              <w:rPr>
                <w:rFonts w:hint="eastAsia" w:asciiTheme="minorEastAsia" w:hAnsiTheme="minorEastAsia" w:eastAsiaTheme="minorEastAsia" w:cstheme="minorEastAsia"/>
                <w:kern w:val="0"/>
                <w:szCs w:val="21"/>
                <w:lang w:val="zh-CN"/>
              </w:rPr>
              <w:br w:type="textWrapping"/>
            </w:r>
            <w:r>
              <w:rPr>
                <w:rFonts w:hint="eastAsia" w:asciiTheme="minorEastAsia" w:hAnsiTheme="minorEastAsia" w:eastAsiaTheme="minorEastAsia" w:cstheme="minorEastAsia"/>
                <w:kern w:val="0"/>
                <w:szCs w:val="21"/>
                <w:lang w:val="zh-CN"/>
              </w:rPr>
              <w:t>退还样品的相关规定：</w:t>
            </w:r>
            <w:r>
              <w:rPr>
                <w:rFonts w:hint="eastAsia" w:asciiTheme="minorEastAsia" w:hAnsiTheme="minorEastAsia" w:eastAsiaTheme="minorEastAsia" w:cstheme="minorEastAsia"/>
                <w:kern w:val="0"/>
                <w:szCs w:val="21"/>
              </w:rPr>
              <w:t>未成交供应商在成交公告发布之日起5个工作日内退还，具体电话通知。成交供应商样品移交采购人做为验收依据，不予退还。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响应文件送达地点及递交截止时间</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磋商小组人数</w:t>
            </w:r>
          </w:p>
        </w:tc>
        <w:tc>
          <w:tcPr>
            <w:tcW w:w="6130" w:type="dxa"/>
            <w:vAlign w:val="center"/>
          </w:tcPr>
          <w:p>
            <w:pPr>
              <w:autoSpaceDE w:val="0"/>
              <w:autoSpaceDN w:val="0"/>
              <w:adjustRightInd w:val="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24.1</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b/>
                <w:bCs/>
                <w:snapToGrid w:val="0"/>
                <w:kern w:val="0"/>
                <w:szCs w:val="21"/>
              </w:rPr>
            </w:pPr>
            <w:r>
              <w:rPr>
                <w:rFonts w:hint="eastAsia" w:asciiTheme="minorEastAsia" w:hAnsiTheme="minorEastAsia" w:eastAsiaTheme="minorEastAsia" w:cstheme="minorEastAsia"/>
                <w:b/>
                <w:bCs/>
                <w:snapToGrid w:val="0"/>
                <w:kern w:val="0"/>
                <w:szCs w:val="21"/>
              </w:rPr>
              <w:t>磋商代表</w:t>
            </w:r>
          </w:p>
        </w:tc>
        <w:tc>
          <w:tcPr>
            <w:tcW w:w="6130" w:type="dxa"/>
            <w:vAlign w:val="center"/>
          </w:tcPr>
          <w:p>
            <w:pPr>
              <w:autoSpaceDE w:val="0"/>
              <w:autoSpaceDN w:val="0"/>
              <w:adjustRightInd w:val="0"/>
              <w:jc w:val="lef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建议供应商拟派出席磋商会议的磋商代表为熟知本项目的技术人员或商务负责人等能</w:t>
            </w:r>
            <w:r>
              <w:rPr>
                <w:rFonts w:hint="eastAsia" w:asciiTheme="minorEastAsia" w:hAnsiTheme="minorEastAsia" w:eastAsiaTheme="minorEastAsia" w:cstheme="minorEastAsia"/>
                <w:b/>
                <w:bCs/>
                <w:szCs w:val="21"/>
              </w:rPr>
              <w:t>为磋商小组详细介绍供应商公司情况及项目了解情况的</w:t>
            </w:r>
            <w:r>
              <w:rPr>
                <w:rFonts w:hint="eastAsia" w:asciiTheme="minorEastAsia" w:hAnsiTheme="minorEastAsia" w:eastAsiaTheme="minorEastAsia" w:cstheme="minorEastAsia"/>
                <w:b/>
                <w:bCs/>
                <w:szCs w:val="21"/>
                <w:lang w:val="zh-CN"/>
              </w:rPr>
              <w:t>具有依法缴纳社会保障资金良好记录（磋商现场查询）的在职工作人员，以便在评审过程中进行可能出现的答疑或澄清。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26.4</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提交最后报价供应商的确定方式</w:t>
            </w:r>
          </w:p>
        </w:tc>
        <w:tc>
          <w:tcPr>
            <w:tcW w:w="6130" w:type="dxa"/>
            <w:vAlign w:val="center"/>
          </w:tcPr>
          <w:p>
            <w:pPr>
              <w:autoSpaceDE w:val="0"/>
              <w:autoSpaceDN w:val="0"/>
              <w:adjustRightInd w:val="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kern w:val="0"/>
                <w:szCs w:val="21"/>
              </w:rPr>
              <w:t>在指定地点以</w:t>
            </w:r>
            <w:r>
              <w:rPr>
                <w:rFonts w:hint="eastAsia" w:asciiTheme="minorEastAsia" w:hAnsiTheme="minorEastAsia" w:eastAsiaTheme="minorEastAsia" w:cstheme="minorEastAsia"/>
                <w:snapToGrid w:val="0"/>
                <w:kern w:val="0"/>
                <w:szCs w:val="21"/>
                <w:lang w:val="zh-CN"/>
              </w:rPr>
              <w:t>密封</w:t>
            </w:r>
            <w:r>
              <w:rPr>
                <w:rFonts w:hint="eastAsia" w:asciiTheme="minorEastAsia" w:hAnsiTheme="minorEastAsia" w:eastAsiaTheme="minorEastAsia" w:cstheme="minorEastAsia"/>
                <w:snapToGrid w:val="0"/>
                <w:kern w:val="0"/>
                <w:szCs w:val="21"/>
              </w:rPr>
              <w:t>等形式</w:t>
            </w:r>
            <w:r>
              <w:rPr>
                <w:rFonts w:hint="eastAsia" w:asciiTheme="minorEastAsia" w:hAnsiTheme="minorEastAsia" w:eastAsiaTheme="minorEastAsia" w:cstheme="minorEastAsia"/>
                <w:snapToGrid w:val="0"/>
                <w:kern w:val="0"/>
                <w:szCs w:val="21"/>
                <w:lang w:val="zh-CN"/>
              </w:rPr>
              <w:t>递交</w:t>
            </w:r>
            <w:r>
              <w:rPr>
                <w:rFonts w:hint="eastAsia" w:asciiTheme="minorEastAsia" w:hAnsiTheme="minorEastAsia" w:eastAsiaTheme="minorEastAsia" w:cstheme="minorEastAsia"/>
                <w:snapToGrid w:val="0"/>
                <w:kern w:val="0"/>
                <w:szCs w:val="21"/>
              </w:rPr>
              <w:t>给采购代理机构指定现场工作人员或</w:t>
            </w:r>
            <w:r>
              <w:rPr>
                <w:rFonts w:hint="eastAsia" w:asciiTheme="minorEastAsia" w:hAnsiTheme="minorEastAsia" w:eastAsiaTheme="minorEastAsia" w:cstheme="minorEastAsia"/>
                <w:snapToGrid w:val="0"/>
                <w:kern w:val="0"/>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27.3</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推荐成交候选</w:t>
            </w:r>
            <w:r>
              <w:rPr>
                <w:rFonts w:hint="eastAsia" w:asciiTheme="minorEastAsia" w:hAnsiTheme="minorEastAsia" w:eastAsiaTheme="minorEastAsia" w:cstheme="minorEastAsia"/>
                <w:snapToGrid w:val="0"/>
                <w:kern w:val="0"/>
                <w:szCs w:val="21"/>
              </w:rPr>
              <w:t>供应商</w:t>
            </w:r>
            <w:r>
              <w:rPr>
                <w:rFonts w:hint="eastAsia" w:asciiTheme="minorEastAsia" w:hAnsiTheme="minorEastAsia" w:eastAsiaTheme="minorEastAsia" w:cstheme="minorEastAsia"/>
                <w:snapToGrid w:val="0"/>
                <w:kern w:val="0"/>
                <w:szCs w:val="21"/>
                <w:lang w:val="zh-CN"/>
              </w:rPr>
              <w:t>数量</w:t>
            </w:r>
          </w:p>
        </w:tc>
        <w:tc>
          <w:tcPr>
            <w:tcW w:w="6130" w:type="dxa"/>
            <w:vAlign w:val="center"/>
          </w:tcPr>
          <w:p>
            <w:pPr>
              <w:autoSpaceDE w:val="0"/>
              <w:autoSpaceDN w:val="0"/>
              <w:adjustRightInd w:val="0"/>
              <w:jc w:val="left"/>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本项目推荐</w:t>
            </w:r>
            <w:r>
              <w:rPr>
                <w:rFonts w:hint="eastAsia" w:asciiTheme="minorEastAsia" w:hAnsiTheme="minorEastAsia" w:eastAsiaTheme="minorEastAsia" w:cstheme="minorEastAsia"/>
                <w:bCs/>
                <w:kern w:val="44"/>
                <w:szCs w:val="21"/>
                <w:u w:val="single"/>
              </w:rPr>
              <w:t>3</w:t>
            </w:r>
            <w:r>
              <w:rPr>
                <w:rFonts w:hint="eastAsia" w:asciiTheme="minorEastAsia" w:hAnsiTheme="minorEastAsia" w:eastAsiaTheme="minorEastAsia" w:cstheme="minorEastAsia"/>
                <w:bCs/>
                <w:kern w:val="44"/>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28.5</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成交通知书的领</w:t>
            </w:r>
            <w:r>
              <w:rPr>
                <w:rFonts w:hint="eastAsia" w:asciiTheme="minorEastAsia" w:hAnsiTheme="minorEastAsia" w:eastAsiaTheme="minorEastAsia" w:cstheme="minorEastAsia"/>
                <w:snapToGrid w:val="0"/>
                <w:kern w:val="0"/>
                <w:szCs w:val="21"/>
              </w:rPr>
              <w:t>时</w:t>
            </w:r>
            <w:r>
              <w:rPr>
                <w:rFonts w:hint="eastAsia" w:asciiTheme="minorEastAsia" w:hAnsiTheme="minorEastAsia" w:eastAsiaTheme="minorEastAsia" w:cstheme="minorEastAsia"/>
                <w:snapToGrid w:val="0"/>
                <w:kern w:val="0"/>
                <w:szCs w:val="21"/>
                <w:lang w:val="zh-CN"/>
              </w:rPr>
              <w:t>间</w:t>
            </w:r>
          </w:p>
        </w:tc>
        <w:tc>
          <w:tcPr>
            <w:tcW w:w="6130" w:type="dxa"/>
            <w:vAlign w:val="center"/>
          </w:tcPr>
          <w:p>
            <w:pPr>
              <w:autoSpaceDE w:val="0"/>
              <w:autoSpaceDN w:val="0"/>
              <w:adjustRightInd w:val="0"/>
              <w:jc w:val="left"/>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成交通知书与成交结果公告同时发出，成交供应商在成交结果公告</w:t>
            </w:r>
          </w:p>
          <w:p>
            <w:pPr>
              <w:autoSpaceDE w:val="0"/>
              <w:autoSpaceDN w:val="0"/>
              <w:adjustRightInd w:val="0"/>
              <w:jc w:val="left"/>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发布以后即可联系采购代理机构领取。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31" w:beforeLines="10" w:after="31" w:afterLines="10"/>
              <w:ind w:right="21" w:rightChars="10"/>
              <w:jc w:val="center"/>
              <w:rPr>
                <w:rFonts w:asciiTheme="minorEastAsia" w:hAnsiTheme="minorEastAsia" w:eastAsiaTheme="minorEastAsia" w:cstheme="minorEastAsia"/>
                <w:color w:val="FF0000"/>
                <w:szCs w:val="21"/>
                <w:lang w:val="zh-CN"/>
              </w:rPr>
            </w:pPr>
            <w:r>
              <w:rPr>
                <w:rFonts w:hint="eastAsia" w:asciiTheme="minorEastAsia" w:hAnsiTheme="minorEastAsia" w:eastAsiaTheme="minorEastAsia" w:cstheme="minorEastAsia"/>
                <w:b/>
                <w:bCs/>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报价方式</w:t>
            </w:r>
          </w:p>
        </w:tc>
        <w:tc>
          <w:tcPr>
            <w:tcW w:w="6130" w:type="dxa"/>
            <w:vAlign w:val="center"/>
          </w:tcPr>
          <w:p>
            <w:pPr>
              <w:autoSpaceDE w:val="0"/>
              <w:autoSpaceDN w:val="0"/>
              <w:adjustRightInd w:val="0"/>
              <w:snapToGrid w:val="0"/>
              <w:spacing w:before="31" w:beforeLines="10" w:after="31" w:afterLines="10"/>
              <w:ind w:right="21" w:rightChars="1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本项目</w:t>
            </w:r>
            <w:r>
              <w:rPr>
                <w:rFonts w:hint="eastAsia" w:asciiTheme="minorEastAsia" w:hAnsiTheme="minorEastAsia" w:eastAsiaTheme="minorEastAsia" w:cstheme="minorEastAsia"/>
                <w:szCs w:val="21"/>
              </w:rPr>
              <w:t>竞标</w:t>
            </w:r>
            <w:r>
              <w:rPr>
                <w:rFonts w:hint="eastAsia" w:asciiTheme="minorEastAsia" w:hAnsiTheme="minorEastAsia" w:eastAsiaTheme="minorEastAsia" w:cstheme="minorEastAsia"/>
                <w:szCs w:val="21"/>
                <w:lang w:val="zh-CN"/>
              </w:rPr>
              <w:t>报价为“交钥匙”价。竞标报价应包括完成该</w:t>
            </w:r>
            <w:r>
              <w:rPr>
                <w:rFonts w:hint="eastAsia" w:asciiTheme="minorEastAsia" w:hAnsiTheme="minorEastAsia" w:eastAsiaTheme="minorEastAsia" w:cstheme="minorEastAsia"/>
                <w:szCs w:val="21"/>
              </w:rPr>
              <w:t>项目采购范围内的所有费用</w:t>
            </w:r>
            <w:r>
              <w:rPr>
                <w:rFonts w:hint="eastAsia" w:asciiTheme="minorEastAsia" w:hAnsiTheme="minorEastAsia" w:eastAsiaTheme="minorEastAsia" w:cstheme="minorEastAsia"/>
                <w:szCs w:val="21"/>
                <w:lang w:val="zh-CN"/>
              </w:rPr>
              <w:t>及</w:t>
            </w:r>
            <w:r>
              <w:rPr>
                <w:rFonts w:hint="eastAsia" w:asciiTheme="minorEastAsia" w:hAnsiTheme="minorEastAsia" w:eastAsiaTheme="minorEastAsia" w:cstheme="minorEastAsia"/>
                <w:szCs w:val="21"/>
              </w:rPr>
              <w:t>后期</w:t>
            </w:r>
            <w:r>
              <w:rPr>
                <w:rFonts w:hint="eastAsia" w:asciiTheme="minorEastAsia" w:hAnsiTheme="minorEastAsia" w:eastAsiaTheme="minorEastAsia" w:cstheme="minorEastAsia"/>
                <w:szCs w:val="21"/>
                <w:lang w:val="zh-CN"/>
              </w:rPr>
              <w:t>质保期间等一切服务费用及其他售后服务等全部相关工作</w:t>
            </w:r>
            <w:r>
              <w:rPr>
                <w:rFonts w:hint="eastAsia" w:asciiTheme="minorEastAsia" w:hAnsiTheme="minorEastAsia" w:eastAsiaTheme="minorEastAsia" w:cstheme="minorEastAsia"/>
                <w:szCs w:val="21"/>
              </w:rPr>
              <w:t>的全费用</w:t>
            </w:r>
            <w:r>
              <w:rPr>
                <w:rFonts w:hint="eastAsia" w:asciiTheme="minorEastAsia" w:hAnsiTheme="minorEastAsia" w:eastAsiaTheme="minorEastAsia" w:cstheme="minorEastAsia"/>
                <w:szCs w:val="21"/>
                <w:lang w:val="zh-CN"/>
              </w:rPr>
              <w:t>。合同签订后采购人未提出增加工作内容的情况下，合同价不得调整。</w:t>
            </w:r>
          </w:p>
          <w:p>
            <w:pPr>
              <w:autoSpaceDE w:val="0"/>
              <w:autoSpaceDN w:val="0"/>
              <w:adjustRightInd w:val="0"/>
              <w:snapToGrid w:val="0"/>
              <w:spacing w:before="31" w:beforeLines="10" w:after="31" w:afterLines="10"/>
              <w:ind w:right="21" w:rightChars="1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各供应商按此要求进行报价，同时在合同实施过程中还将发生的其它费用</w:t>
            </w:r>
            <w:r>
              <w:rPr>
                <w:rFonts w:hint="eastAsia" w:asciiTheme="minorEastAsia" w:hAnsiTheme="minorEastAsia" w:eastAsiaTheme="minorEastAsia" w:cstheme="minorEastAsia"/>
                <w:szCs w:val="21"/>
              </w:rPr>
              <w:t>也</w:t>
            </w:r>
            <w:r>
              <w:rPr>
                <w:rFonts w:hint="eastAsia" w:asciiTheme="minorEastAsia" w:hAnsiTheme="minorEastAsia" w:eastAsiaTheme="minorEastAsia" w:cstheme="minorEastAsia"/>
                <w:szCs w:val="21"/>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szCs w:val="21"/>
              </w:rPr>
              <w:t>采购人</w:t>
            </w:r>
            <w:r>
              <w:rPr>
                <w:rFonts w:hint="eastAsia" w:asciiTheme="minorEastAsia" w:hAnsiTheme="minorEastAsia" w:eastAsiaTheme="minorEastAsia" w:cstheme="minorEastAsia"/>
                <w:szCs w:val="21"/>
                <w:lang w:val="zh-CN"/>
              </w:rPr>
              <w:t>概不负责。</w:t>
            </w:r>
          </w:p>
          <w:p>
            <w:pPr>
              <w:autoSpaceDE w:val="0"/>
              <w:autoSpaceDN w:val="0"/>
              <w:adjustRightInd w:val="0"/>
              <w:snapToGrid w:val="0"/>
              <w:spacing w:before="31" w:beforeLines="10" w:after="31"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对于</w:t>
            </w: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szCs w:val="21"/>
                <w:lang w:val="zh-CN"/>
              </w:rPr>
              <w:t>文件未列明，而</w:t>
            </w: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szCs w:val="21"/>
                <w:lang w:val="zh-CN"/>
              </w:rPr>
              <w:t>供应商认为</w:t>
            </w:r>
            <w:r>
              <w:rPr>
                <w:rFonts w:hint="eastAsia" w:asciiTheme="minorEastAsia" w:hAnsiTheme="minorEastAsia" w:eastAsiaTheme="minorEastAsia" w:cstheme="minorEastAsia"/>
                <w:szCs w:val="21"/>
              </w:rPr>
              <w:t>必须</w:t>
            </w:r>
            <w:r>
              <w:rPr>
                <w:rFonts w:hint="eastAsia" w:asciiTheme="minorEastAsia" w:hAnsiTheme="minorEastAsia" w:eastAsiaTheme="minorEastAsia" w:cstheme="minorEastAsia"/>
                <w:szCs w:val="21"/>
                <w:lang w:val="zh-CN"/>
              </w:rPr>
              <w:t>的费用也需列入总报价。在合同实施时，采购人将不予支付</w:t>
            </w:r>
            <w:r>
              <w:rPr>
                <w:rFonts w:hint="eastAsia" w:asciiTheme="minorEastAsia" w:hAnsiTheme="minorEastAsia" w:eastAsiaTheme="minorEastAsia" w:cstheme="minorEastAsia"/>
                <w:szCs w:val="21"/>
              </w:rPr>
              <w:t>成交</w:t>
            </w:r>
            <w:r>
              <w:rPr>
                <w:rFonts w:hint="eastAsia" w:asciiTheme="minorEastAsia" w:hAnsiTheme="minorEastAsia" w:eastAsiaTheme="minorEastAsia" w:cstheme="minorEastAsia"/>
                <w:szCs w:val="21"/>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27" w:type="dxa"/>
            <w:vAlign w:val="center"/>
          </w:tcPr>
          <w:p>
            <w:pPr>
              <w:autoSpaceDE w:val="0"/>
              <w:autoSpaceDN w:val="0"/>
              <w:adjustRightIn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踏勘现场</w:t>
            </w:r>
          </w:p>
        </w:tc>
        <w:tc>
          <w:tcPr>
            <w:tcW w:w="6130" w:type="dxa"/>
            <w:vAlign w:val="center"/>
          </w:tcPr>
          <w:p>
            <w:pPr>
              <w:autoSpaceDE w:val="0"/>
              <w:autoSpaceDN w:val="0"/>
              <w:adjustRightInd w:val="0"/>
              <w:snapToGrid w:val="0"/>
              <w:spacing w:before="31" w:beforeLines="10" w:after="31"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☑采购人不组织统一踏勘，请各供应商自行踏勘现场；</w:t>
            </w:r>
          </w:p>
          <w:p>
            <w:pPr>
              <w:autoSpaceDE w:val="0"/>
              <w:autoSpaceDN w:val="0"/>
              <w:adjustRightInd w:val="0"/>
              <w:snapToGrid w:val="0"/>
              <w:spacing w:before="31" w:beforeLines="10" w:after="31"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□组织，踏勘时间：</w:t>
            </w:r>
          </w:p>
          <w:p>
            <w:pPr>
              <w:autoSpaceDE w:val="0"/>
              <w:autoSpaceDN w:val="0"/>
              <w:adjustRightInd w:val="0"/>
              <w:snapToGrid w:val="0"/>
              <w:spacing w:before="31" w:beforeLines="10" w:after="31"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踏勘集中地点：</w:t>
            </w:r>
          </w:p>
          <w:p>
            <w:pPr>
              <w:autoSpaceDE w:val="0"/>
              <w:autoSpaceDN w:val="0"/>
              <w:adjustRightInd w:val="0"/>
              <w:snapToGrid w:val="0"/>
              <w:spacing w:before="31" w:beforeLines="10" w:after="31" w:afterLines="10"/>
              <w:ind w:right="21" w:rightChars="10" w:firstLine="840" w:firstLineChars="4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踏勘联系人：</w:t>
            </w:r>
          </w:p>
          <w:p>
            <w:pPr>
              <w:autoSpaceDE w:val="0"/>
              <w:autoSpaceDN w:val="0"/>
              <w:adjustRightInd w:val="0"/>
              <w:snapToGrid w:val="0"/>
              <w:spacing w:before="31" w:beforeLines="10" w:after="31"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注：1、供应商承担踏勘现场所发生的自身费用；</w:t>
            </w:r>
          </w:p>
          <w:p>
            <w:pPr>
              <w:autoSpaceDE w:val="0"/>
              <w:autoSpaceDN w:val="0"/>
              <w:adjustRightInd w:val="0"/>
              <w:snapToGrid w:val="0"/>
              <w:spacing w:before="31" w:beforeLines="10" w:after="31"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2、供应商应承担踏勘现场的责任和风险。</w:t>
            </w:r>
          </w:p>
          <w:p>
            <w:pPr>
              <w:autoSpaceDE w:val="0"/>
              <w:autoSpaceDN w:val="0"/>
              <w:adjustRightInd w:val="0"/>
              <w:snapToGrid w:val="0"/>
              <w:spacing w:before="31" w:beforeLines="10" w:after="31" w:afterLines="10"/>
              <w:ind w:right="21" w:rightChars="1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3、采购人在踏勘现场中介绍的项目背景及项目现场和相关的周边环境情况，供应商在编制响应文件时参考，采购人和采购代理机构不对供应商据此作出的判断和决策负责。</w:t>
            </w:r>
          </w:p>
        </w:tc>
      </w:tr>
    </w:tbl>
    <w:p>
      <w:pPr>
        <w:spacing w:line="360" w:lineRule="auto"/>
        <w:outlineLvl w:val="1"/>
        <w:rPr>
          <w:rFonts w:asciiTheme="minorEastAsia" w:hAnsiTheme="minorEastAsia" w:eastAsiaTheme="minorEastAsia" w:cstheme="minorEastAsia"/>
          <w:b/>
          <w:szCs w:val="21"/>
        </w:rPr>
      </w:pPr>
      <w:bookmarkStart w:id="34" w:name="_Toc9970"/>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t>供应商须知</w:t>
      </w:r>
      <w:bookmarkEnd w:id="34"/>
    </w:p>
    <w:p>
      <w:pPr>
        <w:numPr>
          <w:ilvl w:val="1"/>
          <w:numId w:val="11"/>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35" w:name="_Toc10976"/>
      <w:r>
        <w:rPr>
          <w:rFonts w:hint="eastAsia" w:asciiTheme="minorEastAsia" w:hAnsiTheme="minorEastAsia" w:eastAsiaTheme="minorEastAsia" w:cstheme="minorEastAsia"/>
          <w:b/>
          <w:szCs w:val="21"/>
        </w:rPr>
        <w:t>总则</w:t>
      </w:r>
      <w:bookmarkEnd w:id="35"/>
    </w:p>
    <w:p>
      <w:pPr>
        <w:numPr>
          <w:ilvl w:val="0"/>
          <w:numId w:val="12"/>
        </w:numPr>
        <w:spacing w:line="360" w:lineRule="auto"/>
        <w:ind w:hanging="540"/>
        <w:outlineLvl w:val="1"/>
        <w:rPr>
          <w:rFonts w:asciiTheme="minorEastAsia" w:hAnsiTheme="minorEastAsia" w:eastAsiaTheme="minorEastAsia" w:cstheme="minorEastAsia"/>
          <w:b/>
          <w:szCs w:val="21"/>
        </w:rPr>
      </w:pPr>
      <w:bookmarkStart w:id="36" w:name="_Toc27243"/>
      <w:bookmarkStart w:id="37" w:name="_Toc1174"/>
      <w:r>
        <w:rPr>
          <w:rFonts w:hint="eastAsia" w:asciiTheme="minorEastAsia" w:hAnsiTheme="minorEastAsia" w:eastAsiaTheme="minorEastAsia" w:cstheme="minorEastAsia"/>
          <w:b/>
          <w:szCs w:val="21"/>
        </w:rPr>
        <w:t>适用法律及范围</w:t>
      </w:r>
      <w:bookmarkEnd w:id="36"/>
      <w:bookmarkEnd w:id="37"/>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本竞争性磋商采购文件仅适用于本次竞争性磋商中所述的项目的采购。</w:t>
      </w:r>
    </w:p>
    <w:p>
      <w:pPr>
        <w:numPr>
          <w:ilvl w:val="0"/>
          <w:numId w:val="12"/>
        </w:numPr>
        <w:spacing w:line="360" w:lineRule="auto"/>
        <w:ind w:hanging="540"/>
        <w:outlineLvl w:val="1"/>
        <w:rPr>
          <w:rFonts w:asciiTheme="minorEastAsia" w:hAnsiTheme="minorEastAsia" w:eastAsiaTheme="minorEastAsia" w:cstheme="minorEastAsia"/>
          <w:b/>
          <w:szCs w:val="21"/>
        </w:rPr>
      </w:pPr>
      <w:bookmarkStart w:id="38" w:name="_Toc23522"/>
      <w:bookmarkStart w:id="39" w:name="_Toc30547"/>
      <w:r>
        <w:rPr>
          <w:rFonts w:hint="eastAsia" w:asciiTheme="minorEastAsia" w:hAnsiTheme="minorEastAsia" w:eastAsiaTheme="minorEastAsia" w:cstheme="minorEastAsia"/>
          <w:b/>
          <w:szCs w:val="21"/>
        </w:rPr>
        <w:t>定义</w:t>
      </w:r>
      <w:bookmarkEnd w:id="38"/>
      <w:bookmarkEnd w:id="39"/>
    </w:p>
    <w:p>
      <w:pPr>
        <w:numPr>
          <w:ilvl w:val="1"/>
          <w:numId w:val="14"/>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“采购人”：本次磋商的采购人见《供应商须知前附表》。</w:t>
      </w:r>
    </w:p>
    <w:p>
      <w:pPr>
        <w:numPr>
          <w:ilvl w:val="1"/>
          <w:numId w:val="14"/>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“监管部门”：本次磋商的监管部门见《供应商须知前附表》。</w:t>
      </w:r>
    </w:p>
    <w:p>
      <w:pPr>
        <w:numPr>
          <w:ilvl w:val="1"/>
          <w:numId w:val="14"/>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“采购代理机构”：本次磋商的采购代理机构见《供应商须知前附表》。</w:t>
      </w:r>
    </w:p>
    <w:p>
      <w:pPr>
        <w:numPr>
          <w:ilvl w:val="1"/>
          <w:numId w:val="14"/>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“供应商”是指获取本竞争性磋商采购文件的法人、其他组织或者自然人。</w:t>
      </w:r>
    </w:p>
    <w:p>
      <w:pPr>
        <w:numPr>
          <w:ilvl w:val="1"/>
          <w:numId w:val="14"/>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“磋商供应商”是指</w:t>
      </w:r>
    </w:p>
    <w:p>
      <w:pPr>
        <w:numPr>
          <w:ilvl w:val="3"/>
          <w:numId w:val="12"/>
        </w:numPr>
        <w:tabs>
          <w:tab w:val="left" w:pos="0"/>
          <w:tab w:val="clear" w:pos="2040"/>
        </w:tabs>
        <w:spacing w:line="360" w:lineRule="auto"/>
        <w:ind w:left="0"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12"/>
        </w:numPr>
        <w:tabs>
          <w:tab w:val="left" w:pos="0"/>
          <w:tab w:val="clear" w:pos="2040"/>
        </w:tabs>
        <w:spacing w:line="360" w:lineRule="auto"/>
        <w:ind w:left="0"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12"/>
        </w:numPr>
        <w:tabs>
          <w:tab w:val="left" w:pos="0"/>
          <w:tab w:val="clear" w:pos="2040"/>
        </w:tabs>
        <w:spacing w:line="360" w:lineRule="auto"/>
        <w:ind w:left="0"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通过竞争性磋商采购评定办法中初步审核的供应商。</w:t>
      </w:r>
    </w:p>
    <w:p>
      <w:pPr>
        <w:numPr>
          <w:ilvl w:val="1"/>
          <w:numId w:val="14"/>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是指经磋商小组评审推荐，采购人授予合同的供应商。</w:t>
      </w:r>
    </w:p>
    <w:p>
      <w:pPr>
        <w:numPr>
          <w:ilvl w:val="0"/>
          <w:numId w:val="12"/>
        </w:numPr>
        <w:spacing w:line="360" w:lineRule="auto"/>
        <w:ind w:hanging="540"/>
        <w:outlineLvl w:val="1"/>
        <w:rPr>
          <w:rFonts w:asciiTheme="minorEastAsia" w:hAnsiTheme="minorEastAsia" w:eastAsiaTheme="minorEastAsia" w:cstheme="minorEastAsia"/>
          <w:b/>
          <w:szCs w:val="21"/>
        </w:rPr>
      </w:pPr>
      <w:bookmarkStart w:id="40" w:name="_Toc30503"/>
      <w:bookmarkStart w:id="41" w:name="_Toc10723"/>
      <w:r>
        <w:rPr>
          <w:rFonts w:hint="eastAsia" w:asciiTheme="minorEastAsia" w:hAnsiTheme="minorEastAsia" w:eastAsiaTheme="minorEastAsia" w:cstheme="minorEastAsia"/>
          <w:b/>
          <w:snapToGrid w:val="0"/>
          <w:kern w:val="0"/>
          <w:szCs w:val="21"/>
          <w:lang w:val="zh-CN"/>
        </w:rPr>
        <w:t>工程、货物及服务</w:t>
      </w:r>
      <w:bookmarkEnd w:id="40"/>
      <w:bookmarkEnd w:id="41"/>
    </w:p>
    <w:p>
      <w:pPr>
        <w:numPr>
          <w:ilvl w:val="1"/>
          <w:numId w:val="15"/>
        </w:numPr>
        <w:tabs>
          <w:tab w:val="left" w:pos="525"/>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5"/>
        </w:numPr>
        <w:tabs>
          <w:tab w:val="left" w:pos="525"/>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5"/>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是指除货物（指各种形态和种类的物品，包括原材料、燃料、设备、产品等）和工程（指建设工程，包括建筑物和构筑物的新建、改建、扩建及其相关的装修、拆除、修缮等）以外的其他政府采购对象。</w:t>
      </w:r>
    </w:p>
    <w:p>
      <w:pPr>
        <w:numPr>
          <w:ilvl w:val="0"/>
          <w:numId w:val="12"/>
        </w:numPr>
        <w:spacing w:line="360" w:lineRule="auto"/>
        <w:ind w:hanging="540"/>
        <w:outlineLvl w:val="1"/>
        <w:rPr>
          <w:rFonts w:asciiTheme="minorEastAsia" w:hAnsiTheme="minorEastAsia" w:eastAsiaTheme="minorEastAsia" w:cstheme="minorEastAsia"/>
          <w:b/>
          <w:szCs w:val="21"/>
        </w:rPr>
      </w:pPr>
      <w:bookmarkStart w:id="42" w:name="_Toc162"/>
      <w:bookmarkStart w:id="43" w:name="_Toc9974"/>
      <w:r>
        <w:rPr>
          <w:rFonts w:hint="eastAsia" w:asciiTheme="minorEastAsia" w:hAnsiTheme="minorEastAsia" w:eastAsiaTheme="minorEastAsia" w:cstheme="minorEastAsia"/>
          <w:b/>
          <w:szCs w:val="21"/>
        </w:rPr>
        <w:t>费用</w:t>
      </w:r>
      <w:bookmarkEnd w:id="42"/>
      <w:bookmarkEnd w:id="43"/>
      <w:r>
        <w:rPr>
          <w:rFonts w:hint="eastAsia" w:asciiTheme="minorEastAsia" w:hAnsiTheme="minorEastAsia" w:eastAsiaTheme="minorEastAsia" w:cstheme="minorEastAsia"/>
          <w:b/>
          <w:szCs w:val="21"/>
        </w:rPr>
        <w:t xml:space="preserve">  </w:t>
      </w:r>
    </w:p>
    <w:p>
      <w:pPr>
        <w:numPr>
          <w:ilvl w:val="1"/>
          <w:numId w:val="16"/>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供应商应承担所有与准备和参加磋商有关的费用，不论磋商的结果如何，采购人和采购代理机构均无义务和责任承担这些费用。</w:t>
      </w:r>
    </w:p>
    <w:p>
      <w:pPr>
        <w:numPr>
          <w:ilvl w:val="1"/>
          <w:numId w:val="16"/>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招标代理服务费：成交供应商须在收到成交通知书时向采购代理机构支付招标代理服务费。服务费支付标准和方法详见《供应商须知前附表》。</w:t>
      </w:r>
    </w:p>
    <w:p>
      <w:pPr>
        <w:numPr>
          <w:ilvl w:val="1"/>
          <w:numId w:val="16"/>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国家计委计价格[2002]1980 号规定标准收费：</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中标金额（万元）</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100以下</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100-500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500-1000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0.45%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1000-5000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5000-10000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10000-100000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100000以上</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w:t>
            </w:r>
          </w:p>
        </w:tc>
      </w:tr>
    </w:tbl>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注：招标代理服务收费按差额定率累进法计算。例如：某服务招标代理业务中标金额为6000万元，计算招标代理服务收费额如下：</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 xml:space="preserve"> 0---100：100×1.500％=15000.000元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100---500：400×0.800％=32000.000元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500---1000：500×0.450％=22500.000元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1000---5000：4000×0.250％=100000.000元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5000---6000：1000×0.100％=10000.000元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合计收费=179500.000元</w:t>
      </w:r>
    </w:p>
    <w:p>
      <w:pPr>
        <w:numPr>
          <w:ilvl w:val="1"/>
          <w:numId w:val="11"/>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44" w:name="_Toc17615"/>
      <w:r>
        <w:rPr>
          <w:rFonts w:hint="eastAsia" w:asciiTheme="minorEastAsia" w:hAnsiTheme="minorEastAsia" w:eastAsiaTheme="minorEastAsia" w:cstheme="minorEastAsia"/>
          <w:b/>
          <w:szCs w:val="21"/>
        </w:rPr>
        <w:t>竞争性磋商采购文件</w:t>
      </w:r>
      <w:bookmarkEnd w:id="44"/>
    </w:p>
    <w:p>
      <w:pPr>
        <w:numPr>
          <w:ilvl w:val="0"/>
          <w:numId w:val="12"/>
        </w:numPr>
        <w:spacing w:line="360" w:lineRule="auto"/>
        <w:ind w:hanging="540"/>
        <w:outlineLvl w:val="1"/>
        <w:rPr>
          <w:rFonts w:asciiTheme="minorEastAsia" w:hAnsiTheme="minorEastAsia" w:eastAsiaTheme="minorEastAsia" w:cstheme="minorEastAsia"/>
          <w:b/>
          <w:szCs w:val="21"/>
        </w:rPr>
      </w:pPr>
      <w:bookmarkStart w:id="45" w:name="_Toc4547"/>
      <w:bookmarkStart w:id="46" w:name="_Toc16130"/>
      <w:r>
        <w:rPr>
          <w:rFonts w:hint="eastAsia" w:asciiTheme="minorEastAsia" w:hAnsiTheme="minorEastAsia" w:eastAsiaTheme="minorEastAsia" w:cstheme="minorEastAsia"/>
          <w:b/>
          <w:szCs w:val="21"/>
        </w:rPr>
        <w:t>竞争性磋商采购文件的构成</w:t>
      </w:r>
      <w:bookmarkEnd w:id="45"/>
      <w:bookmarkEnd w:id="46"/>
    </w:p>
    <w:p>
      <w:pPr>
        <w:numPr>
          <w:ilvl w:val="1"/>
          <w:numId w:val="17"/>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本竞争性磋商采购文件包括：</w:t>
      </w:r>
    </w:p>
    <w:p>
      <w:pPr>
        <w:numPr>
          <w:ilvl w:val="3"/>
          <w:numId w:val="12"/>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磋商公告</w:t>
      </w:r>
    </w:p>
    <w:p>
      <w:pPr>
        <w:numPr>
          <w:ilvl w:val="3"/>
          <w:numId w:val="12"/>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供应商须知</w:t>
      </w:r>
    </w:p>
    <w:p>
      <w:pPr>
        <w:numPr>
          <w:ilvl w:val="3"/>
          <w:numId w:val="12"/>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numPr>
          <w:ilvl w:val="3"/>
          <w:numId w:val="12"/>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竞争性磋商采购评定办法</w:t>
      </w:r>
    </w:p>
    <w:p>
      <w:pPr>
        <w:numPr>
          <w:ilvl w:val="3"/>
          <w:numId w:val="12"/>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合同书格式</w:t>
      </w:r>
    </w:p>
    <w:p>
      <w:pPr>
        <w:numPr>
          <w:ilvl w:val="3"/>
          <w:numId w:val="12"/>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竞争性磋商响应文件格式</w:t>
      </w:r>
    </w:p>
    <w:p>
      <w:pPr>
        <w:numPr>
          <w:ilvl w:val="3"/>
          <w:numId w:val="12"/>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采购过程中由采购代理机构发出的澄清和修正文件</w:t>
      </w:r>
    </w:p>
    <w:p>
      <w:pPr>
        <w:numPr>
          <w:ilvl w:val="3"/>
          <w:numId w:val="12"/>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磋商小组在磋商过程中发出的对本磋商文件的实质性变动</w:t>
      </w:r>
    </w:p>
    <w:p>
      <w:pPr>
        <w:numPr>
          <w:ilvl w:val="0"/>
          <w:numId w:val="12"/>
        </w:numPr>
        <w:spacing w:line="360" w:lineRule="auto"/>
        <w:ind w:hanging="540"/>
        <w:outlineLvl w:val="1"/>
        <w:rPr>
          <w:rFonts w:asciiTheme="minorEastAsia" w:hAnsiTheme="minorEastAsia" w:eastAsiaTheme="minorEastAsia" w:cstheme="minorEastAsia"/>
          <w:b/>
          <w:snapToGrid w:val="0"/>
          <w:kern w:val="0"/>
          <w:szCs w:val="21"/>
          <w:lang w:val="zh-CN"/>
        </w:rPr>
      </w:pPr>
      <w:bookmarkStart w:id="47" w:name="_Toc29700"/>
      <w:bookmarkStart w:id="48" w:name="_Toc23657"/>
      <w:r>
        <w:rPr>
          <w:rFonts w:hint="eastAsia" w:asciiTheme="minorEastAsia" w:hAnsiTheme="minorEastAsia" w:eastAsiaTheme="minorEastAsia" w:cstheme="minorEastAsia"/>
          <w:b/>
          <w:snapToGrid w:val="0"/>
          <w:kern w:val="0"/>
          <w:szCs w:val="21"/>
          <w:lang w:val="zh-CN"/>
        </w:rPr>
        <w:t>竞争性磋商采购文件的澄清</w:t>
      </w:r>
      <w:bookmarkEnd w:id="47"/>
      <w:bookmarkEnd w:id="48"/>
    </w:p>
    <w:p>
      <w:pPr>
        <w:numPr>
          <w:ilvl w:val="1"/>
          <w:numId w:val="18"/>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供应商获取竞争性磋商采购文件后，应认真检查，如发现页数不全、附件缺失、印刷模糊等，应通知采购代理机构补全或更换，否则风险自负。</w:t>
      </w:r>
    </w:p>
    <w:p>
      <w:pPr>
        <w:numPr>
          <w:ilvl w:val="1"/>
          <w:numId w:val="18"/>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8"/>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供应商在规定的时间内未对竞争性磋商采购文件澄清或提出疑问的，采购代理机构将视其为同意。</w:t>
      </w:r>
    </w:p>
    <w:p>
      <w:pPr>
        <w:numPr>
          <w:ilvl w:val="1"/>
          <w:numId w:val="18"/>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澄清的内容是本竞争性磋商采购文件的组成部分，当竞争性磋商采购文件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12"/>
        </w:numPr>
        <w:spacing w:line="360" w:lineRule="auto"/>
        <w:ind w:hanging="540"/>
        <w:outlineLvl w:val="1"/>
        <w:rPr>
          <w:rFonts w:asciiTheme="minorEastAsia" w:hAnsiTheme="minorEastAsia" w:eastAsiaTheme="minorEastAsia" w:cstheme="minorEastAsia"/>
          <w:b/>
          <w:snapToGrid w:val="0"/>
          <w:kern w:val="0"/>
          <w:szCs w:val="21"/>
          <w:lang w:val="zh-CN"/>
        </w:rPr>
      </w:pPr>
      <w:bookmarkStart w:id="49" w:name="_Toc31761"/>
      <w:bookmarkStart w:id="50" w:name="_Toc32673"/>
      <w:r>
        <w:rPr>
          <w:rFonts w:hint="eastAsia" w:asciiTheme="minorEastAsia" w:hAnsiTheme="minorEastAsia" w:eastAsiaTheme="minorEastAsia" w:cstheme="minorEastAsia"/>
          <w:b/>
          <w:snapToGrid w:val="0"/>
          <w:kern w:val="0"/>
          <w:szCs w:val="21"/>
          <w:lang w:val="zh-CN"/>
        </w:rPr>
        <w:t>竞争性磋商采购文件的修改</w:t>
      </w:r>
      <w:bookmarkEnd w:id="49"/>
      <w:bookmarkEnd w:id="50"/>
    </w:p>
    <w:p>
      <w:pPr>
        <w:numPr>
          <w:ilvl w:val="1"/>
          <w:numId w:val="19"/>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9"/>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当磋商文件、修改文件对同一内容的表述不一致时，以最后发出的书面文件为准。</w:t>
      </w:r>
    </w:p>
    <w:p>
      <w:pPr>
        <w:numPr>
          <w:ilvl w:val="1"/>
          <w:numId w:val="19"/>
        </w:numPr>
        <w:tabs>
          <w:tab w:val="left" w:pos="525"/>
          <w:tab w:val="clear" w:pos="360"/>
        </w:tabs>
        <w:autoSpaceDE w:val="0"/>
        <w:autoSpaceDN w:val="0"/>
        <w:adjustRightInd w:val="0"/>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rPr>
        <w:t>5</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rPr>
        <w:t>5</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11"/>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51" w:name="_Toc1378"/>
      <w:r>
        <w:rPr>
          <w:rFonts w:hint="eastAsia" w:asciiTheme="minorEastAsia" w:hAnsiTheme="minorEastAsia" w:eastAsiaTheme="minorEastAsia" w:cstheme="minorEastAsia"/>
          <w:b/>
          <w:szCs w:val="21"/>
        </w:rPr>
        <w:t>竞争性磋商响应文件</w:t>
      </w:r>
      <w:bookmarkEnd w:id="51"/>
    </w:p>
    <w:p>
      <w:pPr>
        <w:numPr>
          <w:ilvl w:val="0"/>
          <w:numId w:val="12"/>
        </w:numPr>
        <w:spacing w:line="360" w:lineRule="auto"/>
        <w:ind w:hanging="540"/>
        <w:outlineLvl w:val="1"/>
        <w:rPr>
          <w:rFonts w:asciiTheme="minorEastAsia" w:hAnsiTheme="minorEastAsia" w:eastAsiaTheme="minorEastAsia" w:cstheme="minorEastAsia"/>
          <w:snapToGrid w:val="0"/>
          <w:kern w:val="0"/>
          <w:szCs w:val="21"/>
          <w:lang w:val="zh-CN"/>
        </w:rPr>
      </w:pPr>
      <w:bookmarkStart w:id="52" w:name="_Toc16594"/>
      <w:bookmarkStart w:id="53" w:name="_Toc30987"/>
      <w:r>
        <w:rPr>
          <w:rFonts w:hint="eastAsia" w:asciiTheme="minorEastAsia" w:hAnsiTheme="minorEastAsia" w:eastAsiaTheme="minorEastAsia" w:cstheme="minorEastAsia"/>
          <w:b/>
          <w:snapToGrid w:val="0"/>
          <w:kern w:val="0"/>
          <w:szCs w:val="21"/>
          <w:lang w:val="zh-CN"/>
        </w:rPr>
        <w:t>语言和计量单位</w:t>
      </w:r>
      <w:bookmarkEnd w:id="52"/>
      <w:bookmarkEnd w:id="53"/>
    </w:p>
    <w:p>
      <w:pPr>
        <w:numPr>
          <w:ilvl w:val="1"/>
          <w:numId w:val="20"/>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20"/>
        </w:numPr>
        <w:tabs>
          <w:tab w:val="left" w:pos="540"/>
          <w:tab w:val="clear" w:pos="360"/>
        </w:tabs>
        <w:spacing w:line="360" w:lineRule="auto"/>
        <w:ind w:left="540" w:hanging="540"/>
        <w:rPr>
          <w:rFonts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除非竞争性磋商采购文件中另有规定，计量单位均采用中华人民共和国法定的计量单位。</w:t>
      </w:r>
    </w:p>
    <w:p>
      <w:pPr>
        <w:numPr>
          <w:ilvl w:val="0"/>
          <w:numId w:val="12"/>
        </w:numPr>
        <w:spacing w:line="360" w:lineRule="auto"/>
        <w:ind w:hanging="540"/>
        <w:outlineLvl w:val="1"/>
        <w:rPr>
          <w:rFonts w:asciiTheme="minorEastAsia" w:hAnsiTheme="minorEastAsia" w:eastAsiaTheme="minorEastAsia" w:cstheme="minorEastAsia"/>
          <w:b/>
          <w:snapToGrid w:val="0"/>
          <w:kern w:val="0"/>
          <w:szCs w:val="21"/>
          <w:lang w:val="zh-CN"/>
        </w:rPr>
      </w:pPr>
      <w:bookmarkStart w:id="54" w:name="_Toc6043"/>
      <w:bookmarkStart w:id="55" w:name="_Toc32272"/>
      <w:r>
        <w:rPr>
          <w:rFonts w:hint="eastAsia" w:asciiTheme="minorEastAsia" w:hAnsiTheme="minorEastAsia" w:eastAsiaTheme="minorEastAsia" w:cstheme="minorEastAsia"/>
          <w:b/>
          <w:snapToGrid w:val="0"/>
          <w:kern w:val="0"/>
          <w:szCs w:val="21"/>
          <w:lang w:val="zh-CN"/>
        </w:rPr>
        <w:t>竞争性磋商响应文件的构成</w:t>
      </w:r>
      <w:bookmarkEnd w:id="54"/>
      <w:bookmarkEnd w:id="55"/>
    </w:p>
    <w:p>
      <w:pPr>
        <w:numPr>
          <w:ilvl w:val="1"/>
          <w:numId w:val="21"/>
        </w:numPr>
        <w:tabs>
          <w:tab w:val="left" w:pos="525"/>
          <w:tab w:val="clear" w:pos="360"/>
        </w:tabs>
        <w:autoSpaceDE w:val="0"/>
        <w:autoSpaceDN w:val="0"/>
        <w:adjustRightInd w:val="0"/>
        <w:spacing w:line="360" w:lineRule="auto"/>
        <w:ind w:left="0" w:firstLine="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供应商编制的竞争性磋商响应</w:t>
      </w:r>
      <w:r>
        <w:rPr>
          <w:rFonts w:hint="eastAsia" w:asciiTheme="minorEastAsia" w:hAnsiTheme="minorEastAsia" w:eastAsiaTheme="minorEastAsia" w:cstheme="minorEastAsia"/>
          <w:snapToGrid w:val="0"/>
          <w:kern w:val="0"/>
          <w:szCs w:val="21"/>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12"/>
        </w:numPr>
        <w:spacing w:line="360" w:lineRule="auto"/>
        <w:ind w:hanging="540"/>
        <w:outlineLvl w:val="1"/>
        <w:rPr>
          <w:rFonts w:asciiTheme="minorEastAsia" w:hAnsiTheme="minorEastAsia" w:eastAsiaTheme="minorEastAsia" w:cstheme="minorEastAsia"/>
          <w:b/>
          <w:snapToGrid w:val="0"/>
          <w:kern w:val="0"/>
          <w:szCs w:val="21"/>
          <w:lang w:val="zh-CN"/>
        </w:rPr>
      </w:pPr>
      <w:bookmarkStart w:id="56" w:name="_Toc25217"/>
      <w:bookmarkStart w:id="57" w:name="_Toc27235"/>
      <w:r>
        <w:rPr>
          <w:rFonts w:hint="eastAsia" w:asciiTheme="minorEastAsia" w:hAnsiTheme="minorEastAsia" w:eastAsiaTheme="minorEastAsia" w:cstheme="minorEastAsia"/>
          <w:b/>
          <w:snapToGrid w:val="0"/>
          <w:kern w:val="0"/>
          <w:szCs w:val="21"/>
          <w:lang w:val="zh-CN"/>
        </w:rPr>
        <w:t>竞争性磋商响应文件的编制</w:t>
      </w:r>
      <w:bookmarkEnd w:id="56"/>
      <w:bookmarkEnd w:id="57"/>
    </w:p>
    <w:p>
      <w:pPr>
        <w:numPr>
          <w:ilvl w:val="1"/>
          <w:numId w:val="22"/>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2"/>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2"/>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2"/>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12"/>
        </w:numPr>
        <w:spacing w:line="360" w:lineRule="auto"/>
        <w:ind w:hanging="540"/>
        <w:outlineLvl w:val="1"/>
        <w:rPr>
          <w:rFonts w:asciiTheme="minorEastAsia" w:hAnsiTheme="minorEastAsia" w:eastAsiaTheme="minorEastAsia" w:cstheme="minorEastAsia"/>
          <w:b/>
          <w:snapToGrid w:val="0"/>
          <w:kern w:val="0"/>
          <w:szCs w:val="21"/>
          <w:lang w:val="zh-CN"/>
        </w:rPr>
      </w:pPr>
      <w:bookmarkStart w:id="58" w:name="_Toc21843"/>
      <w:bookmarkStart w:id="59" w:name="_Toc24544"/>
      <w:r>
        <w:rPr>
          <w:rFonts w:hint="eastAsia" w:asciiTheme="minorEastAsia" w:hAnsiTheme="minorEastAsia" w:eastAsiaTheme="minorEastAsia" w:cstheme="minorEastAsia"/>
          <w:b/>
          <w:snapToGrid w:val="0"/>
          <w:kern w:val="0"/>
          <w:szCs w:val="21"/>
          <w:lang w:val="zh-CN"/>
        </w:rPr>
        <w:t>磋商报价</w:t>
      </w:r>
      <w:bookmarkEnd w:id="58"/>
      <w:bookmarkEnd w:id="59"/>
    </w:p>
    <w:p>
      <w:pPr>
        <w:numPr>
          <w:ilvl w:val="1"/>
          <w:numId w:val="2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磋商报价包括磋商供应商在首次提交的响应文件中的报价、磋商过程中的报价和最后报价。磋商供应商的报价均应以人民币报价。</w:t>
      </w:r>
    </w:p>
    <w:p>
      <w:pPr>
        <w:numPr>
          <w:ilvl w:val="1"/>
          <w:numId w:val="2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供应商应根据本磋商文件的规定和要求、市场价格水平及其走势、</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和由这些因素决定的磋商供应商之于本项目的成本水平等提出自己的报价。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szCs w:val="21"/>
        </w:rPr>
        <w:t>但磋商供应商不得以低于其成本的价格进行报价。</w:t>
      </w:r>
    </w:p>
    <w:p>
      <w:pPr>
        <w:numPr>
          <w:ilvl w:val="1"/>
          <w:numId w:val="2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2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2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12"/>
        </w:numPr>
        <w:tabs>
          <w:tab w:val="left" w:pos="864"/>
        </w:tabs>
        <w:spacing w:line="360" w:lineRule="auto"/>
        <w:ind w:hanging="540"/>
        <w:outlineLvl w:val="1"/>
        <w:rPr>
          <w:rFonts w:asciiTheme="minorEastAsia" w:hAnsiTheme="minorEastAsia" w:eastAsiaTheme="minorEastAsia" w:cstheme="minorEastAsia"/>
          <w:b/>
          <w:snapToGrid w:val="0"/>
          <w:kern w:val="0"/>
          <w:szCs w:val="21"/>
          <w:lang w:val="zh-CN"/>
        </w:rPr>
      </w:pPr>
      <w:bookmarkStart w:id="60" w:name="_Toc6176"/>
      <w:bookmarkStart w:id="61" w:name="_Toc28826"/>
      <w:r>
        <w:rPr>
          <w:rFonts w:hint="eastAsia" w:asciiTheme="minorEastAsia" w:hAnsiTheme="minorEastAsia" w:eastAsiaTheme="minorEastAsia" w:cstheme="minorEastAsia"/>
          <w:b/>
          <w:snapToGrid w:val="0"/>
          <w:kern w:val="0"/>
          <w:szCs w:val="21"/>
          <w:lang w:val="zh-CN"/>
        </w:rPr>
        <w:t>备选方案</w:t>
      </w:r>
      <w:bookmarkEnd w:id="60"/>
      <w:bookmarkEnd w:id="61"/>
    </w:p>
    <w:p>
      <w:pPr>
        <w:numPr>
          <w:ilvl w:val="1"/>
          <w:numId w:val="24"/>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12"/>
        </w:numPr>
        <w:tabs>
          <w:tab w:val="left" w:pos="864"/>
        </w:tabs>
        <w:spacing w:line="360" w:lineRule="auto"/>
        <w:ind w:hanging="540"/>
        <w:outlineLvl w:val="1"/>
        <w:rPr>
          <w:rFonts w:asciiTheme="minorEastAsia" w:hAnsiTheme="minorEastAsia" w:eastAsiaTheme="minorEastAsia" w:cstheme="minorEastAsia"/>
          <w:b/>
          <w:snapToGrid w:val="0"/>
          <w:kern w:val="0"/>
          <w:szCs w:val="21"/>
          <w:lang w:val="zh-CN"/>
        </w:rPr>
      </w:pPr>
      <w:bookmarkStart w:id="62" w:name="_Toc14515"/>
      <w:bookmarkStart w:id="63" w:name="_Toc3324"/>
      <w:r>
        <w:rPr>
          <w:rFonts w:hint="eastAsia" w:asciiTheme="minorEastAsia" w:hAnsiTheme="minorEastAsia" w:eastAsiaTheme="minorEastAsia" w:cstheme="minorEastAsia"/>
          <w:b/>
          <w:snapToGrid w:val="0"/>
          <w:kern w:val="0"/>
          <w:szCs w:val="21"/>
          <w:lang w:val="zh-CN"/>
        </w:rPr>
        <w:t>联合体</w:t>
      </w:r>
      <w:bookmarkEnd w:id="62"/>
      <w:bookmarkEnd w:id="63"/>
    </w:p>
    <w:p>
      <w:pPr>
        <w:numPr>
          <w:ilvl w:val="1"/>
          <w:numId w:val="25"/>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5"/>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4" w:name="_Toc18443"/>
      <w:bookmarkStart w:id="65" w:name="_Toc2434"/>
      <w:r>
        <w:rPr>
          <w:rFonts w:hint="eastAsia" w:asciiTheme="minorEastAsia" w:hAnsiTheme="minorEastAsia" w:eastAsiaTheme="minorEastAsia" w:cstheme="minorEastAsia"/>
          <w:b/>
          <w:snapToGrid w:val="0"/>
          <w:kern w:val="0"/>
          <w:szCs w:val="21"/>
          <w:lang w:val="zh-CN"/>
        </w:rPr>
        <w:t>供应商资格证明文件</w:t>
      </w:r>
      <w:bookmarkEnd w:id="64"/>
      <w:bookmarkEnd w:id="65"/>
    </w:p>
    <w:p>
      <w:pPr>
        <w:numPr>
          <w:ilvl w:val="1"/>
          <w:numId w:val="26"/>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供应商应在响应文件提交证明其有资格参加磋商的证明文件，证明文件应包括下列文件：</w:t>
      </w:r>
    </w:p>
    <w:p>
      <w:pPr>
        <w:numPr>
          <w:ilvl w:val="3"/>
          <w:numId w:val="27"/>
        </w:numPr>
        <w:tabs>
          <w:tab w:val="left" w:pos="540"/>
          <w:tab w:val="clear" w:pos="20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6"/>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6"/>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kern w:val="0"/>
          <w:szCs w:val="21"/>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rPr>
        <w:t>否则做废标处理</w:t>
      </w:r>
      <w:r>
        <w:rPr>
          <w:rFonts w:hint="eastAsia" w:asciiTheme="minorEastAsia" w:hAnsiTheme="minorEastAsia" w:eastAsiaTheme="minorEastAsia" w:cstheme="minorEastAsia"/>
          <w:snapToGrid w:val="0"/>
          <w:kern w:val="0"/>
          <w:szCs w:val="21"/>
          <w:lang w:val="zh-CN"/>
        </w:rPr>
        <w:t>。</w:t>
      </w:r>
    </w:p>
    <w:p>
      <w:pPr>
        <w:numPr>
          <w:ilvl w:val="1"/>
          <w:numId w:val="26"/>
        </w:numPr>
        <w:tabs>
          <w:tab w:val="left" w:pos="540"/>
          <w:tab w:val="clear" w:pos="465"/>
        </w:tabs>
        <w:autoSpaceDE w:val="0"/>
        <w:autoSpaceDN w:val="0"/>
        <w:adjustRightInd w:val="0"/>
        <w:spacing w:line="360" w:lineRule="auto"/>
        <w:ind w:left="540" w:hanging="540"/>
        <w:jc w:val="left"/>
        <w:rPr>
          <w:rFonts w:eastAsiaTheme="minorEastAsia"/>
        </w:rPr>
      </w:pPr>
      <w:r>
        <w:rPr>
          <w:rFonts w:hint="eastAsia" w:asciiTheme="minorEastAsia" w:hAnsiTheme="minorEastAsia" w:eastAsiaTheme="minorEastAsia" w:cstheme="minorEastAsia"/>
          <w:snapToGrid w:val="0"/>
          <w:kern w:val="0"/>
          <w:szCs w:val="21"/>
        </w:rPr>
        <w:t>供应商不得存在的其他情形</w:t>
      </w:r>
      <w:r>
        <w:rPr>
          <w:rFonts w:hint="eastAsia" w:asciiTheme="minorEastAsia" w:hAnsiTheme="minorEastAsia" w:eastAsiaTheme="minorEastAsia" w:cstheme="minorEastAsia"/>
          <w:snapToGrid w:val="0"/>
          <w:kern w:val="0"/>
          <w:szCs w:val="21"/>
          <w:lang w:val="zh-CN"/>
        </w:rPr>
        <w:t>见《供应商须知前附表》。</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6" w:name="_Toc9935"/>
      <w:bookmarkStart w:id="67" w:name="_Toc711"/>
      <w:r>
        <w:rPr>
          <w:rFonts w:hint="eastAsia" w:asciiTheme="minorEastAsia" w:hAnsiTheme="minorEastAsia" w:eastAsiaTheme="minorEastAsia" w:cstheme="minorEastAsia"/>
          <w:b/>
          <w:snapToGrid w:val="0"/>
          <w:kern w:val="0"/>
          <w:szCs w:val="21"/>
          <w:lang w:val="zh-CN"/>
        </w:rPr>
        <w:t>证明报价内容、服务合格性和符合竞争性磋商采购文件规定的文件</w:t>
      </w:r>
      <w:bookmarkEnd w:id="66"/>
      <w:bookmarkEnd w:id="67"/>
    </w:p>
    <w:p>
      <w:pPr>
        <w:numPr>
          <w:ilvl w:val="1"/>
          <w:numId w:val="28"/>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证明报价内容符合竞争性磋商采购文件要求的文件和竞争性磋商采购文件规定的其他资料，具体要求见《供应商须知前附表》。</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8" w:name="_Toc27068"/>
      <w:bookmarkStart w:id="69" w:name="_Toc31034"/>
      <w:r>
        <w:rPr>
          <w:rFonts w:hint="eastAsia" w:asciiTheme="minorEastAsia" w:hAnsiTheme="minorEastAsia" w:eastAsiaTheme="minorEastAsia" w:cstheme="minorEastAsia"/>
          <w:b/>
          <w:snapToGrid w:val="0"/>
          <w:kern w:val="0"/>
          <w:szCs w:val="21"/>
          <w:lang w:val="zh-CN"/>
        </w:rPr>
        <w:t>磋商保证金</w:t>
      </w:r>
      <w:bookmarkEnd w:id="68"/>
      <w:bookmarkEnd w:id="69"/>
    </w:p>
    <w:p>
      <w:pPr>
        <w:numPr>
          <w:ilvl w:val="1"/>
          <w:numId w:val="29"/>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本采购文件是否要求递交磋商保证金及保证金金额、递交方式、递交时间、接受保证金的帐户信息等详见《供应商须知前附表》。</w:t>
      </w:r>
    </w:p>
    <w:p>
      <w:pPr>
        <w:numPr>
          <w:ilvl w:val="1"/>
          <w:numId w:val="29"/>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本采购文件要求递交磋商保证金的，磋商保证金作为竞争性磋商响应文件的组成部分，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凡未按规定递交磋商保证金的报价，其响应文件将被视为无效文件。</w:t>
      </w:r>
    </w:p>
    <w:p>
      <w:pPr>
        <w:numPr>
          <w:ilvl w:val="1"/>
          <w:numId w:val="29"/>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磋商保证金有效时间：磋商保证金的有效期与本次磋商有效期一致。</w:t>
      </w:r>
    </w:p>
    <w:p>
      <w:pPr>
        <w:numPr>
          <w:ilvl w:val="1"/>
          <w:numId w:val="29"/>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9"/>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9"/>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有下列情形之一的，磋商保证金将不予退还:</w:t>
      </w:r>
    </w:p>
    <w:p>
      <w:pPr>
        <w:numPr>
          <w:ilvl w:val="0"/>
          <w:numId w:val="30"/>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30"/>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30"/>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除因不可抗力或磋商文件认可的情形以外，成交供应商不与采购人签订合同的；</w:t>
      </w:r>
    </w:p>
    <w:p>
      <w:pPr>
        <w:numPr>
          <w:ilvl w:val="0"/>
          <w:numId w:val="30"/>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30"/>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0" w:name="_Toc5668"/>
      <w:bookmarkStart w:id="71" w:name="_Toc16160"/>
      <w:r>
        <w:rPr>
          <w:rFonts w:hint="eastAsia" w:asciiTheme="minorEastAsia" w:hAnsiTheme="minorEastAsia" w:eastAsiaTheme="minorEastAsia" w:cstheme="minorEastAsia"/>
          <w:b/>
          <w:snapToGrid w:val="0"/>
          <w:kern w:val="0"/>
          <w:szCs w:val="21"/>
          <w:lang w:val="zh-CN"/>
        </w:rPr>
        <w:t>磋商有效期</w:t>
      </w:r>
      <w:bookmarkEnd w:id="70"/>
      <w:bookmarkEnd w:id="71"/>
    </w:p>
    <w:p>
      <w:pPr>
        <w:numPr>
          <w:ilvl w:val="1"/>
          <w:numId w:val="31"/>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31"/>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31"/>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2" w:name="_Toc23072"/>
      <w:bookmarkStart w:id="73" w:name="_Toc8272"/>
      <w:r>
        <w:rPr>
          <w:rFonts w:hint="eastAsia" w:asciiTheme="minorEastAsia" w:hAnsiTheme="minorEastAsia" w:eastAsiaTheme="minorEastAsia" w:cstheme="minorEastAsia"/>
          <w:b/>
          <w:snapToGrid w:val="0"/>
          <w:kern w:val="0"/>
          <w:szCs w:val="21"/>
          <w:lang w:val="zh-CN"/>
        </w:rPr>
        <w:t>竞争性磋商响应文件的装订、签署和数量</w:t>
      </w:r>
      <w:bookmarkEnd w:id="72"/>
      <w:bookmarkEnd w:id="73"/>
    </w:p>
    <w:p>
      <w:pPr>
        <w:numPr>
          <w:ilvl w:val="1"/>
          <w:numId w:val="32"/>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、报价一览表、优惠声明（如有）。本次磋商供应商提交响应文件正、副本和电子文档的数量见《供应商须知前附表》。</w:t>
      </w:r>
    </w:p>
    <w:p>
      <w:pPr>
        <w:autoSpaceDE w:val="0"/>
        <w:autoSpaceDN w:val="0"/>
        <w:adjustRightInd w:val="0"/>
        <w:spacing w:line="360" w:lineRule="auto"/>
        <w:ind w:firstLine="630" w:firstLineChars="3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、报价一览表、优惠声明（如有）与响应文件正本不符，以正本为准。电子文档与纸质文件不符，以纸质文件为准。</w:t>
      </w:r>
    </w:p>
    <w:p>
      <w:pPr>
        <w:numPr>
          <w:ilvl w:val="1"/>
          <w:numId w:val="32"/>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2"/>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竞争性磋商响应文件中的任何行间插字、涂改和增删，必须由法定代表人或授权代表在旁边签字才有效。</w:t>
      </w:r>
    </w:p>
    <w:p>
      <w:pPr>
        <w:numPr>
          <w:ilvl w:val="1"/>
          <w:numId w:val="32"/>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响应文件应当采用不可拆卸的方法的装订，对未经装订的竞争性磋商响应文件可能发生的文件散落或缺损及由此产生的后果由磋商供应商承担。</w:t>
      </w:r>
    </w:p>
    <w:p>
      <w:pPr>
        <w:numPr>
          <w:ilvl w:val="1"/>
          <w:numId w:val="11"/>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74" w:name="_Toc18873"/>
      <w:r>
        <w:rPr>
          <w:rFonts w:hint="eastAsia" w:asciiTheme="minorEastAsia" w:hAnsiTheme="minorEastAsia" w:eastAsiaTheme="minorEastAsia" w:cstheme="minorEastAsia"/>
          <w:b/>
          <w:szCs w:val="21"/>
        </w:rPr>
        <w:t>竞争性磋商响应文件的递交</w:t>
      </w:r>
      <w:bookmarkEnd w:id="74"/>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5" w:name="_Toc25872"/>
      <w:bookmarkStart w:id="76" w:name="_Toc27305"/>
      <w:r>
        <w:rPr>
          <w:rFonts w:hint="eastAsia" w:asciiTheme="minorEastAsia" w:hAnsiTheme="minorEastAsia" w:eastAsiaTheme="minorEastAsia" w:cstheme="minorEastAsia"/>
          <w:b/>
          <w:szCs w:val="21"/>
        </w:rPr>
        <w:t>竞争性磋商响应文件</w:t>
      </w:r>
      <w:r>
        <w:rPr>
          <w:rFonts w:hint="eastAsia" w:asciiTheme="minorEastAsia" w:hAnsiTheme="minorEastAsia" w:eastAsiaTheme="minorEastAsia" w:cstheme="minorEastAsia"/>
          <w:b/>
          <w:snapToGrid w:val="0"/>
          <w:kern w:val="0"/>
          <w:szCs w:val="21"/>
          <w:lang w:val="zh-CN"/>
        </w:rPr>
        <w:t>的密封和标记</w:t>
      </w:r>
      <w:bookmarkEnd w:id="75"/>
      <w:bookmarkEnd w:id="76"/>
    </w:p>
    <w:p>
      <w:pPr>
        <w:numPr>
          <w:ilvl w:val="1"/>
          <w:numId w:val="3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（磋商</w:t>
      </w:r>
      <w:r>
        <w:rPr>
          <w:rFonts w:hint="eastAsia" w:asciiTheme="minorEastAsia" w:hAnsiTheme="minorEastAsia" w:eastAsiaTheme="minorEastAsia" w:cstheme="minorEastAsia"/>
          <w:snapToGrid w:val="0"/>
          <w:kern w:val="0"/>
          <w:szCs w:val="21"/>
          <w:u w:val="single"/>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3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kern w:val="0"/>
          <w:szCs w:val="21"/>
        </w:rPr>
        <w:t>如有</w:t>
      </w:r>
      <w:r>
        <w:rPr>
          <w:rFonts w:hint="eastAsia" w:asciiTheme="minorEastAsia" w:hAnsiTheme="minorEastAsia" w:eastAsiaTheme="minorEastAsia" w:cstheme="minorEastAsia"/>
          <w:snapToGrid w:val="0"/>
          <w:kern w:val="0"/>
          <w:szCs w:val="21"/>
          <w:lang w:val="zh-CN"/>
        </w:rPr>
        <w:t>）（复印件）及报价优惠声明（如有）单独密封提交，除需按</w:t>
      </w:r>
      <w:r>
        <w:rPr>
          <w:rFonts w:hint="eastAsia" w:asciiTheme="minorEastAsia" w:hAnsiTheme="minorEastAsia" w:eastAsiaTheme="minorEastAsia" w:cstheme="minorEastAsia"/>
          <w:snapToGrid w:val="0"/>
          <w:kern w:val="0"/>
          <w:szCs w:val="21"/>
        </w:rPr>
        <w:t>19.1</w:t>
      </w:r>
      <w:r>
        <w:rPr>
          <w:rFonts w:hint="eastAsia" w:asciiTheme="minorEastAsia" w:hAnsiTheme="minorEastAsia" w:eastAsiaTheme="minorEastAsia" w:cstheme="minorEastAsia"/>
          <w:snapToGrid w:val="0"/>
          <w:kern w:val="0"/>
          <w:szCs w:val="21"/>
          <w:lang w:val="zh-CN"/>
        </w:rPr>
        <w:t>款要求注明外还应在信封上标明“报价一览表”字样。</w:t>
      </w:r>
    </w:p>
    <w:p>
      <w:pPr>
        <w:numPr>
          <w:ilvl w:val="1"/>
          <w:numId w:val="3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numPr>
          <w:ilvl w:val="1"/>
          <w:numId w:val="3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要求在磋商时提交样品的，应在样品上标明磋商供应商名称。有关提交及退还样品的相关规定见《供应商须知前附表》。</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7" w:name="_Toc4310"/>
      <w:bookmarkStart w:id="78" w:name="_Toc17857"/>
      <w:r>
        <w:rPr>
          <w:rFonts w:hint="eastAsia" w:asciiTheme="minorEastAsia" w:hAnsiTheme="minorEastAsia" w:eastAsiaTheme="minorEastAsia" w:cstheme="minorEastAsia"/>
          <w:b/>
          <w:snapToGrid w:val="0"/>
          <w:kern w:val="0"/>
          <w:szCs w:val="21"/>
          <w:lang w:val="zh-CN"/>
        </w:rPr>
        <w:t>竞争性磋商响应文件的送达地点及截止时间</w:t>
      </w:r>
      <w:bookmarkEnd w:id="77"/>
      <w:bookmarkEnd w:id="78"/>
    </w:p>
    <w:p>
      <w:pPr>
        <w:autoSpaceDE w:val="0"/>
        <w:autoSpaceDN w:val="0"/>
        <w:adjustRightInd w:val="0"/>
        <w:spacing w:line="360" w:lineRule="auto"/>
        <w:jc w:val="left"/>
        <w:rPr>
          <w:rFonts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b/>
          <w:snapToGrid w:val="0"/>
          <w:kern w:val="0"/>
          <w:szCs w:val="21"/>
          <w:lang w:val="zh-CN"/>
        </w:rPr>
        <w:t>20.1</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snapToGrid w:val="0"/>
          <w:kern w:val="0"/>
          <w:szCs w:val="21"/>
          <w:lang w:val="zh-CN"/>
        </w:rPr>
        <w:t>竞争性磋商文件</w:t>
      </w:r>
      <w:r>
        <w:rPr>
          <w:rFonts w:hint="eastAsia" w:asciiTheme="minorEastAsia" w:hAnsiTheme="minorEastAsia" w:eastAsiaTheme="minorEastAsia" w:cstheme="minorEastAsia"/>
          <w:snapToGrid w:val="0"/>
          <w:kern w:val="0"/>
          <w:szCs w:val="21"/>
          <w:lang w:val="zh-CN"/>
        </w:rPr>
        <w:t>中规定的首次送达、提交响应文件的最后时间。本次磋商响应文件的送达地点及截止时间见《供应商须知前附表》。</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9" w:name="_Toc31376"/>
      <w:bookmarkStart w:id="80" w:name="_Toc8080"/>
      <w:r>
        <w:rPr>
          <w:rFonts w:hint="eastAsia" w:asciiTheme="minorEastAsia" w:hAnsiTheme="minorEastAsia" w:eastAsiaTheme="minorEastAsia" w:cstheme="minorEastAsia"/>
          <w:b/>
          <w:snapToGrid w:val="0"/>
          <w:kern w:val="0"/>
          <w:szCs w:val="21"/>
          <w:lang w:val="zh-CN"/>
        </w:rPr>
        <w:t>迟交的竞争性磋商响应文件</w:t>
      </w:r>
      <w:bookmarkEnd w:id="79"/>
      <w:bookmarkEnd w:id="80"/>
    </w:p>
    <w:p>
      <w:pPr>
        <w:numPr>
          <w:ilvl w:val="1"/>
          <w:numId w:val="34"/>
        </w:numPr>
        <w:tabs>
          <w:tab w:val="left" w:pos="540"/>
          <w:tab w:val="clear" w:pos="48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在本次磋商递交响应文件的截止时间以后送达的响应文件，不论何种原因，采购代理机构将拒收。</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81" w:name="_Toc31760"/>
      <w:bookmarkStart w:id="82" w:name="_Toc23279"/>
      <w:r>
        <w:rPr>
          <w:rFonts w:hint="eastAsia" w:asciiTheme="minorEastAsia" w:hAnsiTheme="minorEastAsia" w:eastAsiaTheme="minorEastAsia" w:cstheme="minorEastAsia"/>
          <w:b/>
          <w:snapToGrid w:val="0"/>
          <w:kern w:val="0"/>
          <w:szCs w:val="21"/>
          <w:lang w:val="zh-CN"/>
        </w:rPr>
        <w:t>竞争性磋商响应文件的补充、修改或者撤回</w:t>
      </w:r>
      <w:bookmarkEnd w:id="81"/>
      <w:bookmarkEnd w:id="82"/>
    </w:p>
    <w:p>
      <w:pPr>
        <w:numPr>
          <w:ilvl w:val="1"/>
          <w:numId w:val="35"/>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5"/>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其响应文件，否则其磋商保证金将不予以退还。</w:t>
      </w:r>
    </w:p>
    <w:p>
      <w:pPr>
        <w:numPr>
          <w:ilvl w:val="1"/>
          <w:numId w:val="35"/>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供应商所提交的响应文件在磋商结束后，无论成交与否都不退还。</w:t>
      </w:r>
    </w:p>
    <w:p>
      <w:pPr>
        <w:numPr>
          <w:ilvl w:val="1"/>
          <w:numId w:val="11"/>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83" w:name="_Toc22812"/>
      <w:r>
        <w:rPr>
          <w:rFonts w:hint="eastAsia" w:asciiTheme="minorEastAsia" w:hAnsiTheme="minorEastAsia" w:eastAsiaTheme="minorEastAsia" w:cstheme="minorEastAsia"/>
          <w:b/>
          <w:szCs w:val="21"/>
        </w:rPr>
        <w:t>磋商程序及步骤</w:t>
      </w:r>
      <w:bookmarkEnd w:id="83"/>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84" w:name="_Toc22624"/>
      <w:bookmarkStart w:id="85" w:name="_Toc22761"/>
      <w:r>
        <w:rPr>
          <w:rFonts w:hint="eastAsia" w:asciiTheme="minorEastAsia" w:hAnsiTheme="minorEastAsia" w:eastAsiaTheme="minorEastAsia" w:cstheme="minorEastAsia"/>
          <w:b/>
        </w:rPr>
        <w:t>竞争性磋商小组</w:t>
      </w:r>
      <w:bookmarkEnd w:id="84"/>
      <w:bookmarkEnd w:id="85"/>
    </w:p>
    <w:p>
      <w:pPr>
        <w:tabs>
          <w:tab w:val="left" w:pos="54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Cs/>
          <w:szCs w:val="21"/>
        </w:rPr>
        <w:t>23.1 采购人</w:t>
      </w:r>
      <w:r>
        <w:rPr>
          <w:rFonts w:hint="eastAsia" w:asciiTheme="minorEastAsia" w:hAnsiTheme="minorEastAsia" w:eastAsiaTheme="minorEastAsia" w:cstheme="minorEastAsia"/>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磋商小组由采购人代表和评审专家共3人或3人以上单数组成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磋商小组人数详见《供应商须知前附表》。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磋商小组中的评审专家人数不少于磋商小组成员总数的2/3。除本采购文件另有规定，评审专家将从政府采购评审专家库中随机抽取。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23.3 磋商小组所有成员按事先抽取的磋商顺序，集中与单一供应商分别进行磋商，并给予所有参加磋商的供应商平等的磋商机会。</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86" w:name="_Toc21483"/>
      <w:bookmarkStart w:id="87" w:name="_Toc2293"/>
      <w:r>
        <w:rPr>
          <w:rFonts w:hint="eastAsia" w:asciiTheme="minorEastAsia" w:hAnsiTheme="minorEastAsia" w:eastAsiaTheme="minorEastAsia" w:cstheme="minorEastAsia"/>
          <w:b/>
        </w:rPr>
        <w:t>磋商代表</w:t>
      </w:r>
      <w:bookmarkEnd w:id="86"/>
      <w:bookmarkEnd w:id="87"/>
    </w:p>
    <w:p>
      <w:pPr>
        <w:tabs>
          <w:tab w:val="left" w:pos="864"/>
          <w:tab w:val="left" w:pos="1080"/>
        </w:tabs>
        <w:spacing w:line="360" w:lineRule="auto"/>
        <w:rPr>
          <w:rFonts w:asciiTheme="minorEastAsia" w:hAnsiTheme="minorEastAsia" w:eastAsiaTheme="minorEastAsia" w:cstheme="minorEastAsia"/>
          <w:szCs w:val="21"/>
        </w:rPr>
      </w:pPr>
      <w:bookmarkStart w:id="88" w:name="_Toc9967"/>
      <w:bookmarkStart w:id="89" w:name="_Toc32662"/>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zCs w:val="21"/>
        </w:rPr>
        <w:t>磋商供应商法定代表人或授权代表应携带本人身份证明参加磋商，授权代表参加磋商的，还应携带法定代表人授权书原件。磋商代表经磋商小组核对身份后，方可参加磋商。</w:t>
      </w:r>
      <w:bookmarkEnd w:id="88"/>
      <w:bookmarkEnd w:id="89"/>
      <w:r>
        <w:rPr>
          <w:rFonts w:hint="eastAsia" w:asciiTheme="minorEastAsia" w:hAnsiTheme="minorEastAsia" w:eastAsiaTheme="minorEastAsia" w:cstheme="minorEastAsia"/>
          <w:szCs w:val="21"/>
        </w:rPr>
        <w:t>磋商代表的其他要求见《供应商须知前附表》。</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rPr>
      </w:pPr>
      <w:bookmarkStart w:id="90" w:name="_Toc20268"/>
      <w:r>
        <w:rPr>
          <w:rFonts w:hint="eastAsia" w:asciiTheme="minorEastAsia" w:hAnsiTheme="minorEastAsia" w:eastAsiaTheme="minorEastAsia" w:cstheme="minorEastAsia"/>
          <w:b/>
        </w:rPr>
        <w:t>资格审查和符合性审查</w:t>
      </w:r>
      <w:bookmarkEnd w:id="90"/>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rPr>
      </w:pPr>
      <w:bookmarkStart w:id="91" w:name="_Toc2914"/>
      <w:r>
        <w:rPr>
          <w:rFonts w:hint="eastAsia" w:asciiTheme="minorEastAsia" w:hAnsiTheme="minorEastAsia" w:eastAsiaTheme="minorEastAsia" w:cstheme="minorEastAsia"/>
          <w:b/>
        </w:rPr>
        <w:t>磋商</w:t>
      </w:r>
      <w:bookmarkEnd w:id="91"/>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Cs w:val="21"/>
        </w:rPr>
        <w:t>26.1磋商小组将根据本磋商文件第四章规定的程序和方法与供应商进行磋商。在磋商中，磋商的任何一方不得透露与磋商有关的其他磋商供应商的技</w:t>
      </w:r>
      <w:r>
        <w:rPr>
          <w:rFonts w:hint="eastAsia" w:asciiTheme="minorEastAsia" w:hAnsiTheme="minorEastAsia" w:eastAsiaTheme="minorEastAsia" w:cstheme="minorEastAsia"/>
        </w:rPr>
        <w:t>术资料、价格和其他信息。</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szCs w:val="21"/>
        </w:rPr>
        <w:t>并提供必要的修正时间。</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rPr>
        <w:t>26.3供应商应当按照磋商文件的变动情况和磋商小组的要求重新提交响应文件，</w:t>
      </w:r>
      <w:r>
        <w:rPr>
          <w:rFonts w:hint="eastAsia" w:asciiTheme="minorEastAsia" w:hAnsiTheme="minorEastAsia" w:eastAsiaTheme="minorEastAsia" w:cstheme="minorEastAsia"/>
          <w:szCs w:val="21"/>
        </w:rPr>
        <w:t>对原响应文件进行技术、商务、价格修正，重新提交的响应文件应实质性响应本磋商文件及</w:t>
      </w:r>
      <w:r>
        <w:rPr>
          <w:rFonts w:hint="eastAsia" w:asciiTheme="minorEastAsia" w:hAnsiTheme="minorEastAsia" w:eastAsiaTheme="minorEastAsia" w:cstheme="minorEastAsia"/>
        </w:rPr>
        <w:t>对磋商文件作出的实质性变动，</w:t>
      </w:r>
      <w:r>
        <w:rPr>
          <w:rFonts w:hint="eastAsia" w:asciiTheme="minorEastAsia" w:hAnsiTheme="minorEastAsia" w:eastAsiaTheme="minorEastAsia" w:cstheme="minorEastAsia"/>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rPr>
        <w:t>供应商的磋商保证金将在成交通知书发放后的五个工作日内退还。</w:t>
      </w:r>
    </w:p>
    <w:p>
      <w:pPr>
        <w:tabs>
          <w:tab w:val="left" w:pos="54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26.4最后报价</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rPr>
        <w:t>最后报价为本次竞争性磋商不可变动的最终价格。</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磋商文件能够详细列明采购标的的技术、服务要求的，磋商结束后，磋商小组应当要求所有继续参加磋商的供应商在规定时间内提交最后报价，提交最后报价的供应商不得少于3家。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本采购项目提交最后报价供应商的确定方式详见《供应商须知前附表》。</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26.5</w:t>
      </w:r>
      <w:r>
        <w:rPr>
          <w:rFonts w:hint="eastAsia" w:asciiTheme="minorEastAsia" w:hAnsiTheme="minorEastAsia" w:eastAsiaTheme="minorEastAsia" w:cstheme="minorEastAsia"/>
          <w:bCs/>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rPr>
        <w:t>提交最后报价</w:t>
      </w:r>
      <w:r>
        <w:rPr>
          <w:rFonts w:hint="eastAsia" w:asciiTheme="minorEastAsia" w:hAnsiTheme="minorEastAsia" w:eastAsiaTheme="minorEastAsia" w:cstheme="minorEastAsia"/>
          <w:bCs/>
          <w:kern w:val="44"/>
          <w:szCs w:val="21"/>
        </w:rPr>
        <w:t>。</w:t>
      </w:r>
    </w:p>
    <w:p>
      <w:pPr>
        <w:spacing w:line="360" w:lineRule="auto"/>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rPr>
        <w:t>26.6</w:t>
      </w:r>
      <w:r>
        <w:rPr>
          <w:rFonts w:hint="eastAsia" w:asciiTheme="minorEastAsia" w:hAnsiTheme="minorEastAsia" w:eastAsiaTheme="minorEastAsia" w:cstheme="minorEastAsia"/>
          <w:bCs/>
          <w:kern w:val="44"/>
          <w:szCs w:val="21"/>
        </w:rPr>
        <w:t xml:space="preserve"> 磋商小组审核完最终报价后，根据竞争性磋商采购文件规定的评定办法推荐成交候选人或根据采购人的书面授权直接确定成交供应商。</w:t>
      </w:r>
    </w:p>
    <w:p>
      <w:pPr>
        <w:spacing w:line="360" w:lineRule="auto"/>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26.7采购代理机构对磋商过程和重要磋商内容进行记录，磋商双方在记录上签字确认。</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92" w:name="_Toc13402"/>
      <w:r>
        <w:rPr>
          <w:rFonts w:hint="eastAsia" w:asciiTheme="minorEastAsia" w:hAnsiTheme="minorEastAsia" w:eastAsiaTheme="minorEastAsia" w:cstheme="minorEastAsia"/>
          <w:b/>
          <w:lang w:val="zh-CN"/>
        </w:rPr>
        <w:t>保密</w:t>
      </w:r>
      <w:bookmarkEnd w:id="92"/>
    </w:p>
    <w:p>
      <w:pPr>
        <w:numPr>
          <w:ilvl w:val="1"/>
          <w:numId w:val="36"/>
        </w:numPr>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kern w:val="44"/>
          <w:szCs w:val="21"/>
        </w:rPr>
        <w:t>磋商小组</w:t>
      </w:r>
      <w:r>
        <w:rPr>
          <w:rFonts w:hint="eastAsia" w:asciiTheme="minorEastAsia" w:hAnsiTheme="minorEastAsia" w:eastAsiaTheme="minorEastAsia" w:cstheme="minorEastAsia"/>
          <w:snapToGrid w:val="0"/>
          <w:kern w:val="0"/>
          <w:szCs w:val="21"/>
          <w:lang w:val="zh-CN"/>
        </w:rPr>
        <w:t>及有关工作人员均不得向供应商或其它无关的人员透露。</w:t>
      </w:r>
    </w:p>
    <w:p>
      <w:pPr>
        <w:numPr>
          <w:ilvl w:val="1"/>
          <w:numId w:val="36"/>
        </w:numPr>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kern w:val="0"/>
          <w:szCs w:val="21"/>
        </w:rPr>
        <w:t>四</w:t>
      </w:r>
      <w:r>
        <w:rPr>
          <w:rFonts w:hint="eastAsia" w:asciiTheme="minorEastAsia" w:hAnsiTheme="minorEastAsia" w:eastAsiaTheme="minorEastAsia" w:cstheme="minorEastAsia"/>
          <w:snapToGrid w:val="0"/>
          <w:kern w:val="0"/>
          <w:szCs w:val="21"/>
          <w:lang w:val="zh-CN"/>
        </w:rPr>
        <w:t>章“</w:t>
      </w:r>
      <w:r>
        <w:rPr>
          <w:rFonts w:hint="eastAsia" w:asciiTheme="minorEastAsia" w:hAnsiTheme="minorEastAsia" w:eastAsiaTheme="minorEastAsia" w:cstheme="minorEastAsia"/>
          <w:snapToGrid w:val="0"/>
          <w:kern w:val="0"/>
          <w:szCs w:val="21"/>
        </w:rPr>
        <w:t>评定办法</w:t>
      </w:r>
      <w:r>
        <w:rPr>
          <w:rFonts w:hint="eastAsia" w:asciiTheme="minorEastAsia" w:hAnsiTheme="minorEastAsia" w:eastAsiaTheme="minorEastAsia" w:cstheme="minorEastAsia"/>
          <w:snapToGrid w:val="0"/>
          <w:kern w:val="0"/>
          <w:szCs w:val="21"/>
          <w:lang w:val="zh-CN"/>
        </w:rPr>
        <w:t>”。</w:t>
      </w:r>
    </w:p>
    <w:p>
      <w:pPr>
        <w:numPr>
          <w:ilvl w:val="1"/>
          <w:numId w:val="36"/>
        </w:numPr>
        <w:autoSpaceDE w:val="0"/>
        <w:autoSpaceDN w:val="0"/>
        <w:adjustRightInd w:val="0"/>
        <w:spacing w:line="360" w:lineRule="auto"/>
        <w:jc w:val="left"/>
        <w:rPr>
          <w:lang w:val="zh-CN"/>
        </w:rPr>
      </w:pPr>
      <w:r>
        <w:rPr>
          <w:rFonts w:hint="eastAsia" w:asciiTheme="minorEastAsia" w:hAnsiTheme="minorEastAsia" w:eastAsiaTheme="minorEastAsia" w:cstheme="minorEastAsia"/>
          <w:snapToGrid w:val="0"/>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11"/>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93" w:name="_Toc16918"/>
      <w:r>
        <w:rPr>
          <w:rFonts w:hint="eastAsia" w:asciiTheme="minorEastAsia" w:hAnsiTheme="minorEastAsia" w:eastAsiaTheme="minorEastAsia" w:cstheme="minorEastAsia"/>
          <w:b/>
          <w:szCs w:val="21"/>
        </w:rPr>
        <w:t>成交与签订合同</w:t>
      </w:r>
      <w:bookmarkEnd w:id="93"/>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94" w:name="_Toc23208"/>
      <w:r>
        <w:rPr>
          <w:rFonts w:hint="eastAsia" w:asciiTheme="minorEastAsia" w:hAnsiTheme="minorEastAsia" w:eastAsiaTheme="minorEastAsia" w:cstheme="minorEastAsia"/>
          <w:b/>
          <w:lang w:val="zh-CN"/>
        </w:rPr>
        <w:t>合同授予标准</w:t>
      </w:r>
      <w:bookmarkEnd w:id="94"/>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28.1采购人将把合同授予排名第一的供应商，特殊情况按本须知29.3的规定执行。</w:t>
      </w:r>
    </w:p>
    <w:p>
      <w:pPr>
        <w:rPr>
          <w:rFonts w:ascii="宋体" w:hAnsi="宋体" w:cs="宋体"/>
          <w:sz w:val="24"/>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2</w:t>
      </w:r>
      <w:r>
        <w:rPr>
          <w:rFonts w:hint="eastAsia" w:asciiTheme="minorEastAsia" w:hAnsiTheme="minorEastAsia" w:eastAsiaTheme="minorEastAsia" w:cstheme="minorEastAsia"/>
          <w:iCs/>
          <w:snapToGrid w:val="0"/>
          <w:kern w:val="0"/>
          <w:szCs w:val="21"/>
          <w:lang w:val="zh-CN"/>
        </w:rPr>
        <w:t>采购代理机构应当在评审结束后2个工作日内将评审报告送采购人确认。</w:t>
      </w:r>
      <w:r>
        <w:rPr>
          <w:rFonts w:ascii="宋体" w:hAnsi="宋体" w:cs="宋体"/>
          <w:sz w:val="24"/>
        </w:rPr>
        <w:t xml:space="preserve"> </w:t>
      </w:r>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3</w:t>
      </w:r>
      <w:r>
        <w:rPr>
          <w:rFonts w:hint="eastAsia" w:asciiTheme="minorEastAsia" w:hAnsiTheme="minorEastAsia" w:eastAsiaTheme="minorEastAsia" w:cstheme="minorEastAsia"/>
          <w:iCs/>
          <w:snapToGrid w:val="0"/>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4</w:t>
      </w:r>
      <w:r>
        <w:rPr>
          <w:rFonts w:hint="eastAsia" w:asciiTheme="minorEastAsia" w:hAnsiTheme="minorEastAsia" w:eastAsiaTheme="minorEastAsia" w:cstheme="minorEastAsia"/>
          <w:iCs/>
          <w:snapToGrid w:val="0"/>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5</w:t>
      </w:r>
      <w:r>
        <w:rPr>
          <w:rFonts w:hint="eastAsia" w:asciiTheme="minorEastAsia" w:hAnsiTheme="minorEastAsia" w:eastAsiaTheme="minorEastAsia" w:cstheme="minorEastAsia"/>
          <w:iCs/>
          <w:snapToGrid w:val="0"/>
          <w:kern w:val="0"/>
          <w:szCs w:val="21"/>
          <w:lang w:val="zh-CN"/>
        </w:rPr>
        <w:t>成交通知书的领取时间详见《供应商须知前附表》。</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95" w:name="_Toc30864"/>
      <w:r>
        <w:rPr>
          <w:rFonts w:hint="eastAsia" w:asciiTheme="minorEastAsia" w:hAnsiTheme="minorEastAsia" w:eastAsiaTheme="minorEastAsia" w:cstheme="minorEastAsia"/>
          <w:b/>
          <w:lang w:val="zh-CN"/>
        </w:rPr>
        <w:t>签订合同</w:t>
      </w:r>
      <w:bookmarkEnd w:id="95"/>
    </w:p>
    <w:p>
      <w:pPr>
        <w:tabs>
          <w:tab w:val="left" w:pos="426"/>
        </w:tabs>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29.1 竞争性磋商采购文件对履约保证金有规定的，成交供应商应按规定在签订合同前缴纳履约保证金。</w:t>
      </w:r>
    </w:p>
    <w:p>
      <w:pPr>
        <w:tabs>
          <w:tab w:val="left" w:pos="426"/>
        </w:tabs>
        <w:autoSpaceDE w:val="0"/>
        <w:autoSpaceDN w:val="0"/>
        <w:adjustRightIn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snapToGrid w:val="0"/>
          <w:szCs w:val="21"/>
          <w:lang w:val="zh-CN"/>
        </w:rPr>
        <w:t>29.2 采购人与成交供应商应当在成交通知书发出之日起30日内，按照采购文件确定的合同文本以及采购标的、规格型号、采购金额、采购数量、技术和服务要求等事项签订政府采购合同。</w:t>
      </w:r>
    </w:p>
    <w:p>
      <w:pPr>
        <w:autoSpaceDE w:val="0"/>
        <w:autoSpaceDN w:val="0"/>
        <w:adjustRightInd w:val="0"/>
        <w:spacing w:line="360" w:lineRule="auto"/>
        <w:ind w:firstLine="424" w:firstLineChars="202"/>
        <w:jc w:val="left"/>
        <w:rPr>
          <w:rFonts w:asciiTheme="minorEastAsia" w:hAnsiTheme="minorEastAsia" w:eastAsiaTheme="minorEastAsia" w:cstheme="minorEastAsia"/>
        </w:rPr>
      </w:pPr>
      <w:r>
        <w:rPr>
          <w:rFonts w:hint="eastAsia" w:asciiTheme="minorEastAsia" w:hAnsiTheme="minorEastAsia" w:eastAsiaTheme="minorEastAsia" w:cstheme="minorEastAsia"/>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utoSpaceDE w:val="0"/>
        <w:autoSpaceDN w:val="0"/>
        <w:adjustRightInd w:val="0"/>
        <w:spacing w:line="360" w:lineRule="auto"/>
        <w:ind w:firstLine="424" w:firstLineChars="202"/>
        <w:jc w:val="left"/>
        <w:rPr>
          <w:rFonts w:asciiTheme="minorEastAsia" w:hAnsiTheme="minorEastAsia" w:eastAsiaTheme="minorEastAsia" w:cstheme="minorEastAsia"/>
        </w:rPr>
      </w:pPr>
      <w:r>
        <w:rPr>
          <w:rFonts w:hint="eastAsia" w:asciiTheme="minorEastAsia" w:hAnsiTheme="minorEastAsia" w:eastAsiaTheme="minorEastAsia" w:cstheme="minorEastAsia"/>
        </w:rPr>
        <w:t>采购人应当自政府采购合同签订之日起2个工作日内，将政府采购合同在省级以上人民政府指定的媒体上公告，但政府采购合同中涉及国家秘密、商业秘密的内容除外。</w:t>
      </w:r>
    </w:p>
    <w:p>
      <w:pPr>
        <w:autoSpaceDE w:val="0"/>
        <w:autoSpaceDN w:val="0"/>
        <w:adjustRightIn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29.3 </w:t>
      </w:r>
      <w:r>
        <w:rPr>
          <w:rFonts w:hint="eastAsia" w:asciiTheme="minorEastAsia" w:hAnsiTheme="minorEastAsia" w:eastAsiaTheme="minorEastAsia" w:cstheme="minorEastAsia"/>
          <w:lang w:val="zh-CN"/>
        </w:rPr>
        <w:t>成交供应商拒绝与采购人签订合同的，采购人可以按照评审报告推荐的中标候选人名单排序，确定下一候选人为成交供应商，也可以重新开展政府采购活动。</w:t>
      </w:r>
    </w:p>
    <w:p>
      <w:pPr>
        <w:autoSpaceDE w:val="0"/>
        <w:autoSpaceDN w:val="0"/>
        <w:adjustRightIn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29.4 </w:t>
      </w:r>
      <w:r>
        <w:rPr>
          <w:rFonts w:hint="eastAsia" w:asciiTheme="minorEastAsia" w:hAnsiTheme="minorEastAsia" w:eastAsiaTheme="minorEastAsia" w:cstheme="minorEastAsia"/>
          <w:snapToGrid w:val="0"/>
          <w:kern w:val="0"/>
          <w:szCs w:val="21"/>
          <w:lang w:val="zh-CN"/>
        </w:rPr>
        <w:t>签订政府采购合同后7个工作日内，采购人应将政府采购合同副本报同级政府采购监管部门备案。</w:t>
      </w:r>
    </w:p>
    <w:p>
      <w:pPr>
        <w:tabs>
          <w:tab w:val="left" w:pos="540"/>
        </w:tabs>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tabs>
          <w:tab w:val="left" w:pos="540"/>
        </w:tabs>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szCs w:val="21"/>
          <w:lang w:val="zh-CN"/>
        </w:rPr>
        <w:t>29.6 除不可抗力等因素外，成交通知书发出后，采购人改变成交结果，或者成交供应商拒绝签订政府采购合同的，应当承担相应的法律责任。</w:t>
      </w:r>
    </w:p>
    <w:p>
      <w:pPr>
        <w:autoSpaceDE w:val="0"/>
        <w:autoSpaceDN w:val="0"/>
        <w:adjustRightInd w:val="0"/>
        <w:spacing w:line="360" w:lineRule="auto"/>
        <w:ind w:firstLine="435"/>
        <w:jc w:val="left"/>
        <w:rPr>
          <w:rFonts w:asciiTheme="minorEastAsia" w:hAnsiTheme="minorEastAsia" w:eastAsiaTheme="minorEastAsia" w:cstheme="minorEastAsia"/>
        </w:rPr>
      </w:pPr>
      <w:r>
        <w:rPr>
          <w:rFonts w:hint="eastAsia" w:asciiTheme="minorEastAsia" w:hAnsiTheme="minorEastAsia" w:eastAsiaTheme="minorEastAsia" w:cstheme="minorEastAsia"/>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11"/>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96" w:name="_Toc13988"/>
      <w:bookmarkStart w:id="97" w:name="_Toc4883"/>
      <w:bookmarkStart w:id="98" w:name="_Toc8497"/>
      <w:bookmarkStart w:id="99" w:name="_Toc14510"/>
      <w:r>
        <w:rPr>
          <w:rFonts w:hint="eastAsia" w:asciiTheme="minorEastAsia" w:hAnsiTheme="minorEastAsia" w:eastAsiaTheme="minorEastAsia" w:cstheme="minorEastAsia"/>
          <w:b/>
          <w:szCs w:val="21"/>
          <w:lang w:val="zh-CN"/>
        </w:rPr>
        <w:t>质疑和投诉</w:t>
      </w:r>
      <w:bookmarkEnd w:id="96"/>
      <w:bookmarkEnd w:id="97"/>
      <w:bookmarkEnd w:id="98"/>
      <w:bookmarkEnd w:id="99"/>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100" w:name="_Toc13489"/>
      <w:r>
        <w:rPr>
          <w:rFonts w:hint="eastAsia" w:asciiTheme="minorEastAsia" w:hAnsiTheme="minorEastAsia" w:eastAsiaTheme="minorEastAsia" w:cstheme="minorEastAsia"/>
          <w:b/>
          <w:lang w:val="zh-CN"/>
        </w:rPr>
        <w:t>质疑</w:t>
      </w:r>
      <w:bookmarkEnd w:id="100"/>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0</w:t>
      </w:r>
      <w:r>
        <w:rPr>
          <w:rFonts w:hint="eastAsia" w:ascii="宋体" w:hAnsi="宋体" w:cs="宋体"/>
          <w:snapToGrid w:val="0"/>
          <w:kern w:val="0"/>
          <w:szCs w:val="21"/>
          <w:lang w:val="zh-CN"/>
        </w:rPr>
        <w:t>.1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0</w:t>
      </w:r>
      <w:r>
        <w:rPr>
          <w:rFonts w:hint="eastAsia" w:ascii="宋体" w:hAnsi="宋体" w:cs="宋体"/>
          <w:snapToGrid w:val="0"/>
          <w:kern w:val="0"/>
          <w:szCs w:val="21"/>
          <w:lang w:val="zh-CN"/>
        </w:rPr>
        <w:t>.2质疑书应当包括下列主要内容：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（1）质疑人的名称、地址、联系人及联系电话等；</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（2）被质疑人的名称、地址、联系人及联系电话等；</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（3）质疑项目名称及编号、质疑事项和明确的请求；</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（5）提出质疑的日期；</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（6）质疑人的署名及签章（质疑人为自然人的，应当由本人签字；质疑人为法人或者其他组织的，应当由法定代表人或者主要负责人签字盖章并加盖公章）；</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（7）法人授权委托书（质疑人或法人委托代理人办理质疑事务的，应当提供授权委托书，授权委托书应当载明委托代理的具体权限和事项）。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101" w:name="_Toc21693"/>
      <w:r>
        <w:rPr>
          <w:rFonts w:hint="eastAsia" w:asciiTheme="minorEastAsia" w:hAnsiTheme="minorEastAsia" w:eastAsiaTheme="minorEastAsia" w:cstheme="minorEastAsia"/>
          <w:b/>
          <w:lang w:val="zh-CN"/>
        </w:rPr>
        <w:t>质疑回复</w:t>
      </w:r>
      <w:bookmarkEnd w:id="101"/>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1</w:t>
      </w:r>
      <w:r>
        <w:rPr>
          <w:rFonts w:hint="eastAsia" w:ascii="宋体" w:hAnsi="宋体" w:cs="宋体"/>
          <w:snapToGrid w:val="0"/>
          <w:kern w:val="0"/>
          <w:szCs w:val="21"/>
          <w:lang w:val="zh-CN"/>
        </w:rPr>
        <w:t>.1采购人或采购代理机构应当在收到供应商的书面质疑后7个工作日内作出答复，并以书面形式通知质疑供应商和其他有关供应商，但答复的内容不得涉及商业秘密。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1</w:t>
      </w:r>
      <w:r>
        <w:rPr>
          <w:rFonts w:hint="eastAsia" w:ascii="宋体" w:hAnsi="宋体" w:cs="宋体"/>
          <w:snapToGrid w:val="0"/>
          <w:kern w:val="0"/>
          <w:szCs w:val="21"/>
          <w:lang w:val="zh-CN"/>
        </w:rPr>
        <w:t>.2质疑答复应当包括下列内容：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102" w:name="_Toc7393"/>
      <w:r>
        <w:rPr>
          <w:rFonts w:hint="eastAsia" w:asciiTheme="minorEastAsia" w:hAnsiTheme="minorEastAsia" w:eastAsiaTheme="minorEastAsia" w:cstheme="minorEastAsia"/>
          <w:b/>
          <w:lang w:val="zh-CN"/>
        </w:rPr>
        <w:t>投诉</w:t>
      </w:r>
      <w:bookmarkEnd w:id="102"/>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2</w:t>
      </w:r>
      <w:r>
        <w:rPr>
          <w:rFonts w:hint="eastAsia" w:ascii="宋体" w:hAnsi="宋体" w:cs="宋体"/>
          <w:snapToGrid w:val="0"/>
          <w:kern w:val="0"/>
          <w:szCs w:val="21"/>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2</w:t>
      </w:r>
      <w:r>
        <w:rPr>
          <w:rFonts w:hint="eastAsia" w:ascii="宋体" w:hAnsi="宋体" w:cs="宋体"/>
          <w:snapToGrid w:val="0"/>
          <w:kern w:val="0"/>
          <w:szCs w:val="21"/>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11"/>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103" w:name="_Toc14767"/>
      <w:bookmarkStart w:id="104" w:name="_Toc28705"/>
      <w:bookmarkStart w:id="105" w:name="_Toc5571"/>
      <w:bookmarkStart w:id="106" w:name="_Toc25547"/>
      <w:r>
        <w:rPr>
          <w:rFonts w:hint="eastAsia" w:asciiTheme="minorEastAsia" w:hAnsiTheme="minorEastAsia" w:eastAsiaTheme="minorEastAsia" w:cstheme="minorEastAsia"/>
          <w:b/>
          <w:szCs w:val="21"/>
          <w:lang w:val="zh-CN"/>
        </w:rPr>
        <w:t>政策</w:t>
      </w:r>
      <w:bookmarkEnd w:id="103"/>
      <w:bookmarkEnd w:id="104"/>
      <w:bookmarkEnd w:id="105"/>
      <w:bookmarkEnd w:id="106"/>
    </w:p>
    <w:p>
      <w:pPr>
        <w:numPr>
          <w:ilvl w:val="0"/>
          <w:numId w:val="12"/>
        </w:numPr>
        <w:tabs>
          <w:tab w:val="left" w:pos="864"/>
          <w:tab w:val="left" w:pos="1080"/>
        </w:tabs>
        <w:spacing w:line="360" w:lineRule="auto"/>
        <w:ind w:hanging="540"/>
        <w:outlineLvl w:val="1"/>
        <w:rPr>
          <w:rFonts w:asciiTheme="minorEastAsia" w:hAnsiTheme="minorEastAsia" w:eastAsiaTheme="minorEastAsia" w:cstheme="minorEastAsia"/>
          <w:b/>
        </w:rPr>
      </w:pPr>
      <w:bookmarkStart w:id="107" w:name="_Toc10360"/>
      <w:r>
        <w:rPr>
          <w:rFonts w:hint="eastAsia" w:asciiTheme="minorEastAsia" w:hAnsiTheme="minorEastAsia" w:eastAsiaTheme="minorEastAsia" w:cstheme="minorEastAsia"/>
          <w:b/>
        </w:rPr>
        <w:t>政府采购政策</w:t>
      </w:r>
      <w:bookmarkEnd w:id="107"/>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3</w:t>
      </w:r>
      <w:r>
        <w:rPr>
          <w:rFonts w:hint="eastAsia" w:ascii="宋体" w:hAnsi="宋体" w:cs="宋体"/>
          <w:snapToGrid w:val="0"/>
          <w:kern w:val="0"/>
          <w:szCs w:val="21"/>
          <w:lang w:val="zh-CN"/>
        </w:rPr>
        <w:t>.1</w:t>
      </w:r>
      <w:r>
        <w:rPr>
          <w:rFonts w:hint="eastAsia" w:ascii="宋体" w:hAnsi="宋体" w:cs="宋体"/>
          <w:snapToGrid w:val="0"/>
          <w:spacing w:val="-2"/>
          <w:kern w:val="0"/>
          <w:szCs w:val="21"/>
          <w:lang w:val="zh-CN"/>
        </w:rPr>
        <w:t>除非“供应商须知前附表”中有特殊规定，本项目所采购的货物应当为中华人民共和国境内提供。</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3</w:t>
      </w:r>
      <w:r>
        <w:rPr>
          <w:rFonts w:hint="eastAsia" w:ascii="宋体" w:hAnsi="宋体" w:cs="宋体"/>
          <w:snapToGrid w:val="0"/>
          <w:kern w:val="0"/>
          <w:szCs w:val="21"/>
          <w:lang w:val="zh-CN"/>
        </w:rPr>
        <w:t>.2为促进中小企业发展，本项目供应商如符合工信部联企业【</w:t>
      </w:r>
      <w:r>
        <w:rPr>
          <w:rFonts w:hint="eastAsia" w:ascii="宋体" w:hAnsi="宋体" w:cs="宋体"/>
          <w:snapToGrid w:val="0"/>
          <w:kern w:val="0"/>
          <w:szCs w:val="21"/>
        </w:rPr>
        <w:t>2011</w:t>
      </w:r>
      <w:r>
        <w:rPr>
          <w:rFonts w:hint="eastAsia" w:ascii="宋体" w:hAnsi="宋体" w:cs="宋体"/>
          <w:snapToGrid w:val="0"/>
          <w:kern w:val="0"/>
          <w:szCs w:val="21"/>
          <w:lang w:val="zh-CN"/>
        </w:rPr>
        <w:t>】300号文中对中小企业划型标准的，可按照“评定办法前附表”中相关规定，对产品的价格给予一定比例的扣除，用扣除后的价格参与评审。具体扣除比例详见“评定办法前附表”。</w:t>
      </w:r>
    </w:p>
    <w:p>
      <w:pPr>
        <w:autoSpaceDE w:val="0"/>
        <w:autoSpaceDN w:val="0"/>
        <w:adjustRightInd w:val="0"/>
        <w:spacing w:line="360" w:lineRule="auto"/>
        <w:jc w:val="left"/>
        <w:rPr>
          <w:rFonts w:ascii="宋体" w:hAnsi="宋体" w:cs="宋体"/>
          <w:snapToGrid w:val="0"/>
          <w:kern w:val="0"/>
          <w:szCs w:val="21"/>
        </w:rPr>
      </w:pPr>
      <w:r>
        <w:rPr>
          <w:rFonts w:hint="eastAsia" w:ascii="宋体" w:hAnsi="宋体" w:cs="宋体"/>
          <w:snapToGrid w:val="0"/>
          <w:kern w:val="0"/>
          <w:szCs w:val="21"/>
        </w:rPr>
        <w:t>33.3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autoSpaceDE w:val="0"/>
        <w:autoSpaceDN w:val="0"/>
        <w:adjustRightInd w:val="0"/>
        <w:spacing w:line="360" w:lineRule="auto"/>
        <w:jc w:val="left"/>
        <w:rPr>
          <w:rFonts w:ascii="宋体" w:hAnsi="宋体" w:cs="宋体"/>
          <w:snapToGrid w:val="0"/>
          <w:kern w:val="0"/>
          <w:szCs w:val="21"/>
        </w:rPr>
      </w:pPr>
      <w:r>
        <w:rPr>
          <w:rFonts w:hint="eastAsia" w:ascii="宋体" w:hAnsi="宋体" w:cs="宋体"/>
          <w:snapToGrid w:val="0"/>
          <w:kern w:val="0"/>
          <w:szCs w:val="21"/>
        </w:rPr>
        <w:t>33.4按照《三部门联合发布关于促进残疾人就业政府采购政策的通知》（财库【2017】141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autoSpaceDE w:val="0"/>
        <w:autoSpaceDN w:val="0"/>
        <w:adjustRightInd w:val="0"/>
        <w:spacing w:line="360" w:lineRule="auto"/>
        <w:jc w:val="left"/>
        <w:rPr>
          <w:rFonts w:ascii="宋体" w:hAnsi="宋体" w:cs="宋体"/>
          <w:snapToGrid w:val="0"/>
          <w:kern w:val="0"/>
          <w:szCs w:val="21"/>
        </w:rPr>
      </w:pPr>
      <w:r>
        <w:rPr>
          <w:rFonts w:hint="eastAsia" w:ascii="宋体" w:hAnsi="宋体" w:cs="宋体"/>
          <w:snapToGrid w:val="0"/>
          <w:kern w:val="0"/>
          <w:szCs w:val="21"/>
          <w:lang w:val="zh-CN"/>
        </w:rPr>
        <w:t>3</w:t>
      </w:r>
      <w:r>
        <w:rPr>
          <w:rFonts w:hint="eastAsia" w:ascii="宋体" w:hAnsi="宋体" w:cs="宋体"/>
          <w:snapToGrid w:val="0"/>
          <w:kern w:val="0"/>
          <w:szCs w:val="21"/>
        </w:rPr>
        <w:t>3</w:t>
      </w:r>
      <w:r>
        <w:rPr>
          <w:rFonts w:hint="eastAsia" w:ascii="宋体" w:hAnsi="宋体" w:cs="宋体"/>
          <w:snapToGrid w:val="0"/>
          <w:kern w:val="0"/>
          <w:szCs w:val="21"/>
          <w:lang w:val="zh-CN"/>
        </w:rPr>
        <w:t>.</w:t>
      </w:r>
      <w:r>
        <w:rPr>
          <w:rFonts w:hint="eastAsia" w:ascii="宋体" w:hAnsi="宋体" w:cs="宋体"/>
          <w:snapToGrid w:val="0"/>
          <w:kern w:val="0"/>
          <w:szCs w:val="21"/>
        </w:rPr>
        <w:t>5按照《财政部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33.</w:t>
      </w:r>
      <w:r>
        <w:rPr>
          <w:rFonts w:hint="eastAsia" w:ascii="宋体" w:hAnsi="宋体" w:cs="宋体"/>
          <w:snapToGrid w:val="0"/>
          <w:kern w:val="0"/>
          <w:szCs w:val="21"/>
        </w:rPr>
        <w:t>6</w:t>
      </w:r>
      <w:r>
        <w:rPr>
          <w:rFonts w:hint="eastAsia" w:ascii="宋体" w:hAnsi="宋体" w:cs="宋体"/>
          <w:snapToGrid w:val="0"/>
          <w:kern w:val="0"/>
          <w:szCs w:val="21"/>
          <w:lang w:val="zh-CN"/>
        </w:rPr>
        <w:t>上述政府采购政策优惠须经磋商小组评审后执行，未提供单独分项报价或证明资料不全的不给予价格扣除。</w:t>
      </w:r>
    </w:p>
    <w:p>
      <w:pPr>
        <w:autoSpaceDE w:val="0"/>
        <w:autoSpaceDN w:val="0"/>
        <w:adjustRightInd w:val="0"/>
        <w:spacing w:line="360" w:lineRule="auto"/>
        <w:ind w:firstLine="422" w:firstLineChars="200"/>
        <w:jc w:val="left"/>
        <w:rPr>
          <w:rFonts w:ascii="宋体" w:hAnsi="宋体" w:cs="宋体"/>
          <w:b/>
          <w:bCs/>
          <w:snapToGrid w:val="0"/>
          <w:kern w:val="0"/>
          <w:szCs w:val="21"/>
          <w:lang w:val="zh-CN"/>
        </w:rPr>
      </w:pPr>
      <w:r>
        <w:rPr>
          <w:rFonts w:hint="eastAsia" w:ascii="宋体" w:hAnsi="宋体" w:cs="宋体"/>
          <w:b/>
          <w:bCs/>
          <w:snapToGrid w:val="0"/>
          <w:kern w:val="0"/>
          <w:szCs w:val="21"/>
          <w:lang w:val="zh-CN"/>
        </w:rPr>
        <w:t>供应商应当对《中小企业声明函》、监狱企业证明文件、《残疾人福利性单位声明函》的真实</w:t>
      </w:r>
    </w:p>
    <w:p>
      <w:pPr>
        <w:autoSpaceDE w:val="0"/>
        <w:autoSpaceDN w:val="0"/>
        <w:adjustRightInd w:val="0"/>
        <w:spacing w:line="360" w:lineRule="auto"/>
        <w:jc w:val="left"/>
        <w:rPr>
          <w:b/>
          <w:bCs/>
          <w:lang w:val="zh-CN"/>
        </w:rPr>
      </w:pPr>
      <w:r>
        <w:rPr>
          <w:rFonts w:hint="eastAsia" w:ascii="宋体" w:hAnsi="宋体" w:cs="宋体"/>
          <w:b/>
          <w:bCs/>
          <w:snapToGrid w:val="0"/>
          <w:kern w:val="0"/>
          <w:szCs w:val="21"/>
          <w:lang w:val="zh-CN"/>
        </w:rPr>
        <w:t>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11"/>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108" w:name="_Toc26595"/>
      <w:r>
        <w:rPr>
          <w:rFonts w:hint="eastAsia" w:asciiTheme="minorEastAsia" w:hAnsiTheme="minorEastAsia" w:eastAsiaTheme="minorEastAsia" w:cstheme="minorEastAsia"/>
          <w:b/>
          <w:szCs w:val="21"/>
          <w:lang w:val="zh-CN"/>
        </w:rPr>
        <w:t>其他要求</w:t>
      </w:r>
      <w:bookmarkEnd w:id="108"/>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11"/>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109" w:name="_Toc13377"/>
      <w:r>
        <w:rPr>
          <w:rFonts w:hint="eastAsia" w:asciiTheme="minorEastAsia" w:hAnsiTheme="minorEastAsia" w:eastAsiaTheme="minorEastAsia" w:cstheme="minorEastAsia"/>
          <w:b/>
          <w:szCs w:val="21"/>
          <w:lang w:val="zh-CN"/>
        </w:rPr>
        <w:t>适用法律</w:t>
      </w:r>
      <w:bookmarkEnd w:id="109"/>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b/>
          <w:bCs/>
          <w:snapToGrid w:val="0"/>
          <w:kern w:val="0"/>
          <w:szCs w:val="21"/>
          <w:lang w:val="zh-CN"/>
        </w:rPr>
        <w:t>补充说明：</w:t>
      </w:r>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1）除本采购文件另有规定外，采购文件中出现的类似于“近三年”或“前三年”、“近五年”或“前五年”均指递交响应文件时间以前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11 月 30 日。</w:t>
      </w:r>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8</w:t>
      </w:r>
      <w:r>
        <w:rPr>
          <w:rFonts w:hint="eastAsia" w:asciiTheme="minorEastAsia" w:hAnsiTheme="minorEastAsia" w:eastAsiaTheme="minorEastAsia" w:cstheme="minorEastAsia"/>
          <w:snapToGrid w:val="0"/>
          <w:kern w:val="0"/>
          <w:szCs w:val="21"/>
          <w:lang w:val="zh-CN"/>
        </w:rPr>
        <w:t>年度。</w:t>
      </w:r>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3）本采购文件所称的“以上”、“以下”、“内”、“以内”，均包括本数；所称的“不足”，不包括本数。</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p>
    <w:p>
      <w:pPr>
        <w:numPr>
          <w:ilvl w:val="0"/>
          <w:numId w:val="4"/>
        </w:numPr>
        <w:jc w:val="center"/>
        <w:outlineLv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bookmarkStart w:id="110" w:name="_Toc22134"/>
      <w:r>
        <w:rPr>
          <w:rFonts w:hint="eastAsia" w:asciiTheme="minorEastAsia" w:hAnsiTheme="minorEastAsia" w:eastAsiaTheme="minorEastAsia" w:cstheme="minorEastAsia"/>
          <w:b/>
          <w:bCs/>
          <w:sz w:val="36"/>
          <w:szCs w:val="36"/>
        </w:rPr>
        <w:t>采购需求</w:t>
      </w:r>
      <w:bookmarkEnd w:id="110"/>
    </w:p>
    <w:p>
      <w:pPr>
        <w:autoSpaceDE w:val="0"/>
        <w:autoSpaceDN w:val="0"/>
        <w:adjustRightInd w:val="0"/>
        <w:spacing w:line="360" w:lineRule="auto"/>
        <w:outlineLvl w:val="1"/>
        <w:rPr>
          <w:rFonts w:asciiTheme="minorEastAsia" w:hAnsiTheme="minorEastAsia" w:eastAsiaTheme="minorEastAsia" w:cstheme="minorEastAsia"/>
          <w:b/>
          <w:bCs/>
          <w:sz w:val="24"/>
        </w:rPr>
      </w:pPr>
      <w:bookmarkStart w:id="111" w:name="_Toc9305"/>
      <w:r>
        <w:rPr>
          <w:rFonts w:hint="eastAsia" w:asciiTheme="minorEastAsia" w:hAnsiTheme="minorEastAsia" w:eastAsiaTheme="minorEastAsia" w:cstheme="minorEastAsia"/>
          <w:b/>
          <w:bCs/>
          <w:sz w:val="24"/>
        </w:rPr>
        <w:t>一、技术需求</w:t>
      </w:r>
      <w:bookmarkEnd w:id="111"/>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概况：根据上级有关文件精神，湖北美术学院纳入2020年省直事业单位统一公开招聘岗位面试工作委托专业机构承办，即面试各环节全部工作，包括但不限于制定工作方案并实施、制定面试工作防疫指南并落实落细各环节各项防疫措施、确定面试入围人员、面试前资格复审、发布面试公告、面试命题及制卷、组织面试考核、统分核分、递补、各类信息发布与公示、各类人员职责确定并组织学习、各类人员工作纪律手册印制与组织学习、评委抽选与通知、考生通知、各类人员费用计算与支付、各环节全程视频监控落实、公众疑问解答等。</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2、招聘岗位情况：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1800"/>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岗位名称</w:t>
            </w:r>
          </w:p>
        </w:tc>
        <w:tc>
          <w:tcPr>
            <w:tcW w:w="2322"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招聘计划</w:t>
            </w:r>
          </w:p>
        </w:tc>
        <w:tc>
          <w:tcPr>
            <w:tcW w:w="1800"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面试入围比例</w:t>
            </w:r>
          </w:p>
        </w:tc>
        <w:tc>
          <w:tcPr>
            <w:tcW w:w="2844"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辅导员A岗</w:t>
            </w:r>
          </w:p>
        </w:tc>
        <w:tc>
          <w:tcPr>
            <w:tcW w:w="2322"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800"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2844"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限男性，需入住男生寝室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辅导员B岗</w:t>
            </w:r>
          </w:p>
        </w:tc>
        <w:tc>
          <w:tcPr>
            <w:tcW w:w="2322"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800"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2844"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限女性，需入住女生寝室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财务会计</w:t>
            </w:r>
          </w:p>
        </w:tc>
        <w:tc>
          <w:tcPr>
            <w:tcW w:w="2322"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800"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2844" w:type="dxa"/>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审计</w:t>
            </w:r>
          </w:p>
        </w:tc>
        <w:tc>
          <w:tcPr>
            <w:tcW w:w="2322"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800"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2844" w:type="dxa"/>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校医</w:t>
            </w:r>
          </w:p>
        </w:tc>
        <w:tc>
          <w:tcPr>
            <w:tcW w:w="2322"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800"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2844" w:type="dxa"/>
          </w:tcPr>
          <w:p>
            <w:pPr>
              <w:pStyle w:val="2"/>
              <w:rPr>
                <w:rFonts w:asciiTheme="minorEastAsia" w:hAnsiTheme="minorEastAsia" w:eastAsiaTheme="minorEastAsia" w:cstheme="minorEastAsia"/>
                <w:szCs w:val="21"/>
              </w:rPr>
            </w:pPr>
          </w:p>
        </w:tc>
      </w:tr>
    </w:tbl>
    <w:p>
      <w:pPr>
        <w:autoSpaceDE w:val="0"/>
        <w:autoSpaceDN w:val="0"/>
        <w:adjustRightInd w:val="0"/>
        <w:spacing w:line="360" w:lineRule="auto"/>
        <w:ind w:left="21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3、服务内容和要求：</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2.1面试工作方案制定：按照事业单位公开招聘有关要求，制定面试工作方案。</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2.2面试命题：按照招聘工作方案和招聘公告规定的岗位聘用条件，开展面试命题工作。</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2.3面试制卷：按照通过笔试人数制卷，面试制卷根据面试分组情况确定。</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2.4确定面试入围人员：按《岗位表》规定的比例、事业单位公开招聘有关规定，确定面试入围人员。</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2.5面试资格复审：按2020年省直事业单位统一公开招聘要求进行面试资格复审。</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2.6发布面试通告并通知入围面试人员：按照事业单位公开招聘要求发布面试公告，同时采用电话、短信、电子邮件等方式通知考生，确保入围面试人员及时获悉面试事宜。</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2.7面试考场安排：按照事业单位公开招聘规定，落实防疫要求，安排布置面试考场，配备工作人员。</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2.8面试试卷押运：面试试卷等押运至考点，考试结束后押运至阅卷点。</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2.9各类工作人员培训及考务人员劳务费：对参与招聘工作人员进行考前培训，并按相关规定支付考务人员劳务费。</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2.10面试评委：严格落实相关回避规定，严格执行评委通知、选派规定，严格评委工作纪律，支付面试评委劳务费，每组面试评委不少于7人。</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2.11面试组织实施：安全、规范的完成面试各环节工作，相关工作全程视频收音录像。</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2.12统分核分：按照2020年省直事业单位公开招聘有关规定，统计、复核面试成绩及考生最终成绩。</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2.13制定面试工作防疫指南：遵循有关法律法规和事业单位公开招聘规定等，贯彻落实防疫要求，制定面试工作防疫指南。</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2.14做好各环节各项防疫工作：按照防疫指南等要求，购置防疫物资，组建防疫专班，落实落细各环节各项防疫措施并提前预演，支付物资购置及人员劳务费。</w:t>
      </w:r>
    </w:p>
    <w:p>
      <w:pPr>
        <w:autoSpaceDE w:val="0"/>
        <w:autoSpaceDN w:val="0"/>
        <w:adjustRightIn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2.15其他：各类人员职责确定与组织学习、各类人员工作纪律手册印制与组织学习、评委抽选与通知、各环节全程视频监控落实、各类人员费用计算与支付、递补、各类信息发布与公示、公众疑问解答等。</w:t>
      </w:r>
    </w:p>
    <w:p>
      <w:pPr>
        <w:autoSpaceDE w:val="0"/>
        <w:autoSpaceDN w:val="0"/>
        <w:adjustRightInd w:val="0"/>
        <w:spacing w:line="360" w:lineRule="auto"/>
      </w:pPr>
    </w:p>
    <w:p>
      <w:pPr>
        <w:autoSpaceDE w:val="0"/>
        <w:autoSpaceDN w:val="0"/>
        <w:adjustRightInd w:val="0"/>
        <w:spacing w:line="360" w:lineRule="auto"/>
        <w:outlineLvl w:val="1"/>
        <w:rPr>
          <w:rFonts w:asciiTheme="minorEastAsia" w:hAnsiTheme="minorEastAsia" w:eastAsiaTheme="minorEastAsia" w:cstheme="minorEastAsia"/>
          <w:b/>
          <w:bCs/>
          <w:sz w:val="24"/>
        </w:rPr>
      </w:pPr>
      <w:bookmarkStart w:id="112" w:name="_Toc32222"/>
      <w:r>
        <w:rPr>
          <w:rFonts w:hint="eastAsia" w:asciiTheme="minorEastAsia" w:hAnsiTheme="minorEastAsia" w:eastAsiaTheme="minorEastAsia" w:cstheme="minorEastAsia"/>
          <w:b/>
          <w:bCs/>
          <w:sz w:val="24"/>
        </w:rPr>
        <w:t>二、商务需求</w:t>
      </w:r>
      <w:bookmarkEnd w:id="112"/>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1、违约责任：</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所有拟派服务人员及设备均需按照磋商文件指标要求及竞标响应情况进行检查核对后方可签订合同，不满足磋商文件要求的，采购人有权不对其进行验收；同时采购人有权对成交供应商进行双倍罚款或取消合同。</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1.2若非采购人原因，成交供应商逾期签订合同的，成交供应商向采购人支付逾期违约金，逾期违约金为每天1000.00元人民币，但其最终累计金额不超过合同价款的10%。</w:t>
      </w:r>
    </w:p>
    <w:p>
      <w:pPr>
        <w:pStyle w:val="2"/>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1.3因成交供应商原因服务质量及诚信要求达不到约定的标准，由成交供应商向采购人支付合同价款10%的违约金。</w:t>
      </w:r>
      <w:r>
        <w:rPr>
          <w:rFonts w:hint="eastAsia" w:asciiTheme="minorEastAsia" w:hAnsiTheme="minorEastAsia" w:eastAsiaTheme="minorEastAsia" w:cstheme="minorEastAsia"/>
          <w:b/>
          <w:bCs/>
          <w:szCs w:val="21"/>
        </w:rPr>
        <w:br w:type="textWrapping"/>
      </w:r>
      <w:r>
        <w:rPr>
          <w:rFonts w:hint="eastAsia" w:asciiTheme="minorEastAsia" w:hAnsiTheme="minorEastAsia" w:eastAsiaTheme="minorEastAsia" w:cstheme="minorEastAsia"/>
          <w:szCs w:val="21"/>
        </w:rPr>
        <w:t>2、服务质量要求：供应商必须制定书面的、与采购招聘工作相适应的工作流程、质量要求和考核标准，甲方进行招聘质量验收，验收合格双方签字认可，乙方将所有招聘相关材料一次性交付甲方，并有义务协助配合相关检查工作。</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3、服务地点：湖北美术学院人事处225办公室。</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4、履约保证金：合同价的5%；签订合同前5个工作日递交，以支票、汇票、本票或者金融机构、担保机构出具的保函等非现金形式提交。</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5、付款方式：不支付预付款，招聘考核工作结束验收合格后，据实结算并一次性付款，同时退还履约保证金。</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注：</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1、资格审查因素等证明材料须提供网上图片或查询方式以供磋商小组核查，响应文件内附相关证书真彩扫描件。</w:t>
      </w:r>
    </w:p>
    <w:p>
      <w:pPr>
        <w:autoSpaceDE w:val="0"/>
        <w:autoSpaceDN w:val="0"/>
        <w:adjustRightInd w:val="0"/>
        <w:spacing w:line="360" w:lineRule="auto"/>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szCs w:val="21"/>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r>
        <w:rPr>
          <w:rFonts w:hint="eastAsia" w:asciiTheme="minorEastAsia" w:hAnsiTheme="minorEastAsia" w:eastAsiaTheme="minorEastAsia" w:cstheme="minorEastAsia"/>
          <w:b/>
          <w:bCs/>
          <w:color w:val="FF0000"/>
          <w:szCs w:val="21"/>
        </w:rPr>
        <w:br w:type="textWrapping"/>
      </w:r>
      <w:r>
        <w:rPr>
          <w:rFonts w:hint="eastAsia" w:asciiTheme="minorEastAsia" w:hAnsiTheme="minorEastAsia" w:eastAsiaTheme="minorEastAsia" w:cstheme="minorEastAsia"/>
          <w:b/>
          <w:bCs/>
          <w:color w:val="FF0000"/>
          <w:szCs w:val="21"/>
        </w:rPr>
        <w:br w:type="textWrapping"/>
      </w:r>
      <w:r>
        <w:rPr>
          <w:rFonts w:hint="eastAsia" w:asciiTheme="minorEastAsia" w:hAnsiTheme="minorEastAsia" w:eastAsiaTheme="minorEastAsia" w:cstheme="minorEastAsia"/>
          <w:b/>
          <w:bCs/>
          <w:color w:val="FF0000"/>
          <w:szCs w:val="21"/>
        </w:rPr>
        <w:br w:type="textWrapping"/>
      </w:r>
    </w:p>
    <w:p/>
    <w:p>
      <w:pPr>
        <w:autoSpaceDE w:val="0"/>
        <w:autoSpaceDN w:val="0"/>
        <w:adjustRightIn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br w:type="textWrapping"/>
      </w:r>
    </w:p>
    <w:p>
      <w:pPr>
        <w:autoSpaceDE w:val="0"/>
        <w:autoSpaceDN w:val="0"/>
        <w:adjustRightInd w:val="0"/>
        <w:spacing w:line="360" w:lineRule="auto"/>
        <w:ind w:firstLine="422" w:firstLineChars="200"/>
        <w:rPr>
          <w:rFonts w:asciiTheme="minorEastAsia" w:hAnsiTheme="minorEastAsia" w:eastAsiaTheme="minorEastAsia" w:cstheme="minorEastAsia"/>
          <w:b/>
          <w:bCs/>
          <w:szCs w:val="21"/>
        </w:rPr>
      </w:pPr>
    </w:p>
    <w:p>
      <w:pPr>
        <w:autoSpaceDE w:val="0"/>
        <w:autoSpaceDN w:val="0"/>
        <w:adjustRightInd w:val="0"/>
        <w:spacing w:line="360" w:lineRule="auto"/>
        <w:ind w:firstLine="422" w:firstLineChars="200"/>
        <w:rPr>
          <w:rFonts w:asciiTheme="minorEastAsia" w:hAnsiTheme="minorEastAsia" w:eastAsiaTheme="minorEastAsia" w:cstheme="minorEastAsia"/>
          <w:b/>
          <w:bCs/>
          <w:szCs w:val="21"/>
        </w:rPr>
      </w:pPr>
    </w:p>
    <w:p>
      <w:pPr>
        <w:autoSpaceDE w:val="0"/>
        <w:autoSpaceDN w:val="0"/>
        <w:adjustRightIn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br w:type="textWrapping"/>
      </w:r>
      <w:r>
        <w:rPr>
          <w:rFonts w:hint="eastAsia" w:asciiTheme="minorEastAsia" w:hAnsiTheme="minorEastAsia" w:eastAsiaTheme="minorEastAsia" w:cstheme="minorEastAsia"/>
          <w:b/>
          <w:bCs/>
          <w:szCs w:val="21"/>
        </w:rPr>
        <w:br w:type="textWrapping"/>
      </w:r>
      <w:r>
        <w:rPr>
          <w:rFonts w:hint="eastAsia" w:asciiTheme="minorEastAsia" w:hAnsiTheme="minorEastAsia" w:eastAsiaTheme="minorEastAsia" w:cstheme="minorEastAsia"/>
          <w:b/>
          <w:bCs/>
          <w:szCs w:val="21"/>
        </w:rPr>
        <w:br w:type="textWrapping"/>
      </w:r>
    </w:p>
    <w:p>
      <w:pPr>
        <w:autoSpaceDE w:val="0"/>
        <w:autoSpaceDN w:val="0"/>
        <w:adjustRightInd w:val="0"/>
        <w:spacing w:line="360" w:lineRule="auto"/>
        <w:ind w:firstLine="422" w:firstLineChars="200"/>
        <w:rPr>
          <w:rFonts w:asciiTheme="minorEastAsia" w:hAnsiTheme="minorEastAsia" w:eastAsiaTheme="minorEastAsia" w:cstheme="minorEastAsia"/>
          <w:b/>
          <w:bCs/>
          <w:szCs w:val="21"/>
        </w:rPr>
      </w:pPr>
    </w:p>
    <w:p>
      <w:pPr>
        <w:autoSpaceDE w:val="0"/>
        <w:autoSpaceDN w:val="0"/>
        <w:adjustRightInd w:val="0"/>
        <w:spacing w:line="360" w:lineRule="auto"/>
        <w:ind w:firstLine="422" w:firstLineChars="200"/>
        <w:rPr>
          <w:rFonts w:asciiTheme="minorEastAsia" w:hAnsiTheme="minorEastAsia" w:eastAsiaTheme="minorEastAsia" w:cstheme="minorEastAsia"/>
          <w:b/>
          <w:bCs/>
          <w:szCs w:val="21"/>
        </w:rPr>
      </w:pPr>
    </w:p>
    <w:p>
      <w:pPr>
        <w:autoSpaceDE w:val="0"/>
        <w:autoSpaceDN w:val="0"/>
        <w:adjustRightIn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br w:type="textWrapping"/>
      </w:r>
      <w:r>
        <w:rPr>
          <w:rFonts w:hint="eastAsia" w:asciiTheme="minorEastAsia" w:hAnsiTheme="minorEastAsia" w:eastAsiaTheme="minorEastAsia" w:cstheme="minorEastAsia"/>
          <w:b/>
          <w:bCs/>
          <w:szCs w:val="21"/>
        </w:rPr>
        <w:br w:type="textWrapping"/>
      </w:r>
      <w:r>
        <w:rPr>
          <w:rFonts w:hint="eastAsia" w:asciiTheme="minorEastAsia" w:hAnsiTheme="minorEastAsia" w:eastAsiaTheme="minorEastAsia" w:cstheme="minorEastAsia"/>
          <w:b/>
          <w:bCs/>
          <w:szCs w:val="21"/>
        </w:rPr>
        <w:br w:type="textWrapping"/>
      </w:r>
      <w:r>
        <w:rPr>
          <w:rFonts w:hint="eastAsia" w:asciiTheme="minorEastAsia" w:hAnsiTheme="minorEastAsia" w:eastAsiaTheme="minorEastAsia" w:cstheme="minorEastAsia"/>
          <w:b/>
          <w:bCs/>
          <w:szCs w:val="21"/>
        </w:rPr>
        <w:br w:type="textWrapping"/>
      </w:r>
      <w:r>
        <w:rPr>
          <w:rFonts w:hint="eastAsia" w:asciiTheme="minorEastAsia" w:hAnsiTheme="minorEastAsia" w:eastAsiaTheme="minorEastAsia" w:cstheme="minorEastAsia"/>
          <w:b/>
          <w:bCs/>
          <w:szCs w:val="21"/>
        </w:rPr>
        <w:br w:type="textWrapping"/>
      </w:r>
      <w:r>
        <w:rPr>
          <w:rFonts w:hint="eastAsia" w:asciiTheme="minorEastAsia" w:hAnsiTheme="minorEastAsia" w:eastAsiaTheme="minorEastAsia" w:cstheme="minorEastAsia"/>
          <w:b/>
          <w:bCs/>
          <w:szCs w:val="21"/>
        </w:rPr>
        <w:br w:type="textWrapping"/>
      </w:r>
      <w:r>
        <w:rPr>
          <w:rFonts w:hint="eastAsia" w:asciiTheme="minorEastAsia" w:hAnsiTheme="minorEastAsia" w:eastAsiaTheme="minorEastAsia" w:cstheme="minorEastAsia"/>
          <w:b/>
          <w:bCs/>
          <w:szCs w:val="21"/>
        </w:rPr>
        <w:br w:type="textWrapping"/>
      </w:r>
      <w:r>
        <w:rPr>
          <w:rFonts w:hint="eastAsia" w:asciiTheme="minorEastAsia" w:hAnsiTheme="minorEastAsia" w:eastAsiaTheme="minorEastAsia" w:cstheme="minorEastAsia"/>
          <w:b/>
          <w:bCs/>
          <w:szCs w:val="21"/>
        </w:rPr>
        <w:br w:type="textWrapping"/>
      </w:r>
      <w:r>
        <w:rPr>
          <w:rFonts w:hint="eastAsia" w:asciiTheme="minorEastAsia" w:hAnsiTheme="minorEastAsia" w:eastAsiaTheme="minorEastAsia" w:cstheme="minorEastAsia"/>
          <w:b/>
          <w:bCs/>
          <w:szCs w:val="21"/>
        </w:rPr>
        <w:br w:type="textWrapping"/>
      </w:r>
    </w:p>
    <w:p>
      <w:pPr>
        <w:pStyle w:val="3"/>
        <w:numPr>
          <w:ilvl w:val="0"/>
          <w:numId w:val="4"/>
        </w:numPr>
        <w:jc w:val="center"/>
        <w:rPr>
          <w:rFonts w:asciiTheme="minorEastAsia" w:hAnsiTheme="minorEastAsia" w:eastAsiaTheme="minorEastAsia" w:cstheme="minorEastAsia"/>
          <w:szCs w:val="21"/>
        </w:rPr>
      </w:pPr>
      <w:bookmarkStart w:id="113" w:name="_Toc17842"/>
      <w:r>
        <w:rPr>
          <w:rFonts w:hint="eastAsia" w:asciiTheme="minorEastAsia" w:hAnsiTheme="minorEastAsia" w:eastAsiaTheme="minorEastAsia" w:cstheme="minorEastAsia"/>
          <w:sz w:val="36"/>
          <w:szCs w:val="36"/>
        </w:rPr>
        <w:t>竞争性磋商采购评定办法</w:t>
      </w:r>
      <w:bookmarkEnd w:id="113"/>
    </w:p>
    <w:p>
      <w:pPr>
        <w:spacing w:line="360" w:lineRule="auto"/>
        <w:outlineLvl w:val="1"/>
        <w:rPr>
          <w:rFonts w:asciiTheme="minorEastAsia" w:hAnsiTheme="minorEastAsia" w:eastAsiaTheme="minorEastAsia" w:cstheme="minorEastAsia"/>
          <w:b/>
          <w:szCs w:val="21"/>
        </w:rPr>
      </w:pPr>
      <w:bookmarkStart w:id="114" w:name="_Toc22331"/>
      <w:r>
        <w:rPr>
          <w:rFonts w:hint="eastAsia" w:asciiTheme="minorEastAsia" w:hAnsiTheme="minorEastAsia" w:eastAsiaTheme="minorEastAsia" w:cstheme="minorEastAsia"/>
          <w:b/>
          <w:szCs w:val="21"/>
        </w:rPr>
        <w:t>一、评定办法前附表</w:t>
      </w:r>
      <w:bookmarkEnd w:id="114"/>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3101"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473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资格要求</w:t>
            </w:r>
          </w:p>
        </w:tc>
        <w:tc>
          <w:tcPr>
            <w:tcW w:w="4730"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szCs w:val="21"/>
              </w:rPr>
            </w:pPr>
          </w:p>
        </w:tc>
        <w:tc>
          <w:tcPr>
            <w:tcW w:w="3101" w:type="dxa"/>
            <w:vAlign w:val="center"/>
          </w:tcPr>
          <w:p>
            <w:pPr>
              <w:widowControl/>
              <w:spacing w:line="28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没有重大违法记录的书面声明</w:t>
            </w:r>
          </w:p>
        </w:tc>
        <w:tc>
          <w:tcPr>
            <w:tcW w:w="4730" w:type="dxa"/>
            <w:vAlign w:val="center"/>
          </w:tcPr>
          <w:p>
            <w:pPr>
              <w:widowControl/>
              <w:spacing w:line="28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szCs w:val="21"/>
              </w:rPr>
            </w:pPr>
          </w:p>
        </w:tc>
        <w:tc>
          <w:tcPr>
            <w:tcW w:w="3101" w:type="dxa"/>
            <w:vAlign w:val="center"/>
          </w:tcPr>
          <w:p>
            <w:pPr>
              <w:widowControl/>
              <w:spacing w:line="28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供应商不得存在的其他情形</w:t>
            </w:r>
          </w:p>
        </w:tc>
        <w:tc>
          <w:tcPr>
            <w:tcW w:w="4730" w:type="dxa"/>
            <w:vAlign w:val="center"/>
          </w:tcPr>
          <w:p>
            <w:pPr>
              <w:widowControl/>
              <w:spacing w:line="280" w:lineRule="exact"/>
              <w:jc w:val="left"/>
              <w:rPr>
                <w:lang w:val="zh-CN"/>
              </w:rPr>
            </w:pPr>
            <w:r>
              <w:rPr>
                <w:rFonts w:hint="eastAsia"/>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lang w:val="zh-CN"/>
              </w:rPr>
            </w:pPr>
            <w:r>
              <w:rPr>
                <w:rFonts w:hint="eastAsia"/>
                <w:lang w:val="zh-CN"/>
              </w:rPr>
              <w:t>2、参与本项目采购活动前，已为本项目提供过整体设计、规范编制或者项目管理、监理、检测等服务的供应商。</w:t>
            </w:r>
          </w:p>
          <w:p>
            <w:pPr>
              <w:widowControl/>
              <w:spacing w:line="280" w:lineRule="exact"/>
              <w:jc w:val="left"/>
              <w:rPr>
                <w:lang w:val="zh-CN"/>
              </w:rPr>
            </w:pPr>
            <w:r>
              <w:rPr>
                <w:rFonts w:hint="eastAsia"/>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asciiTheme="minorEastAsia" w:hAnsiTheme="minorEastAsia" w:eastAsiaTheme="minorEastAsia" w:cstheme="minorEastAsia"/>
                <w:szCs w:val="21"/>
              </w:rPr>
            </w:pPr>
          </w:p>
        </w:tc>
        <w:tc>
          <w:tcPr>
            <w:tcW w:w="3101"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磋商保证金（如有）</w:t>
            </w:r>
          </w:p>
        </w:tc>
        <w:tc>
          <w:tcPr>
            <w:tcW w:w="4730" w:type="dxa"/>
            <w:vAlign w:val="center"/>
          </w:tcPr>
          <w:p>
            <w:pPr>
              <w:widowControl/>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6"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经营范围</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是否未超出经营范围竞标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磋商书签字盖章</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信誉情况</w:t>
            </w:r>
          </w:p>
        </w:tc>
        <w:tc>
          <w:tcPr>
            <w:tcW w:w="4730" w:type="dxa"/>
            <w:vAlign w:val="center"/>
          </w:tcPr>
          <w:p>
            <w:pPr>
              <w:widowControl/>
              <w:rPr>
                <w:rFonts w:asciiTheme="minorEastAsia" w:hAnsiTheme="minorEastAsia" w:eastAsiaTheme="minorEastAsia" w:cstheme="minorEastAsia"/>
                <w:kern w:val="0"/>
                <w:szCs w:val="21"/>
              </w:rPr>
            </w:pPr>
            <w:r>
              <w:rPr>
                <w:rFonts w:hint="eastAsia" w:ascii="宋体" w:hAnsi="宋体" w:cs="宋体"/>
                <w:kern w:val="0"/>
                <w:szCs w:val="21"/>
              </w:rPr>
              <w:t>参加本</w:t>
            </w:r>
            <w:r>
              <w:rPr>
                <w:rFonts w:hint="eastAsia" w:ascii="宋体" w:hAnsi="宋体" w:cs="宋体"/>
                <w:kern w:val="0"/>
                <w:szCs w:val="21"/>
                <w:shd w:val="clear" w:color="auto" w:fill="FFFFFF"/>
              </w:rPr>
              <w:t>次政府采购活动前三年内，是否有不良经济纠纷记录和违法行为（供应商提供声明或承诺书，格式自拟）；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采购需求响应</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技术参数及商务需求是否实质性响应磋商文件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Merge w:val="continue"/>
            <w:vAlign w:val="center"/>
          </w:tcPr>
          <w:p>
            <w:pPr>
              <w:widowControl/>
              <w:jc w:val="center"/>
              <w:rPr>
                <w:rFonts w:asciiTheme="minorEastAsia" w:hAnsiTheme="minorEastAsia" w:eastAsiaTheme="minorEastAsia" w:cstheme="minorEastAsia"/>
                <w:kern w:val="0"/>
                <w:szCs w:val="21"/>
              </w:rPr>
            </w:pP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autoSpaceDE w:val="0"/>
              <w:autoSpaceDN w:val="0"/>
              <w:adjustRightInd w:val="0"/>
              <w:snapToGrid w:val="0"/>
              <w:jc w:val="center"/>
              <w:rPr>
                <w:rFonts w:ascii="宋体" w:hAnsi="宋体"/>
                <w:szCs w:val="21"/>
              </w:rPr>
            </w:pPr>
            <w:r>
              <w:rPr>
                <w:rFonts w:hint="eastAsia" w:ascii="宋体" w:hAnsi="宋体"/>
                <w:szCs w:val="21"/>
              </w:rPr>
              <w:t>其他要求（一）</w:t>
            </w:r>
          </w:p>
        </w:tc>
        <w:tc>
          <w:tcPr>
            <w:tcW w:w="4730" w:type="dxa"/>
            <w:vAlign w:val="center"/>
          </w:tcPr>
          <w:p>
            <w:pPr>
              <w:autoSpaceDE w:val="0"/>
              <w:autoSpaceDN w:val="0"/>
              <w:adjustRightInd w:val="0"/>
              <w:snapToGrid w:val="0"/>
              <w:rPr>
                <w:rFonts w:ascii="宋体" w:hAnsi="宋体"/>
                <w:szCs w:val="21"/>
              </w:rPr>
            </w:pPr>
            <w:r>
              <w:rPr>
                <w:rFonts w:hint="eastAsia" w:ascii="宋体" w:hAnsi="宋体"/>
                <w:szCs w:val="21"/>
              </w:rPr>
              <w:t>供应商未有下列任一情形：</w:t>
            </w:r>
          </w:p>
          <w:p>
            <w:pPr>
              <w:autoSpaceDE w:val="0"/>
              <w:autoSpaceDN w:val="0"/>
              <w:adjustRightInd w:val="0"/>
              <w:snapToGrid w:val="0"/>
              <w:rPr>
                <w:rFonts w:ascii="宋体" w:hAnsi="宋体"/>
                <w:szCs w:val="21"/>
              </w:rPr>
            </w:pPr>
            <w:r>
              <w:rPr>
                <w:rFonts w:hint="eastAsia" w:ascii="宋体" w:hAnsi="宋体"/>
                <w:szCs w:val="21"/>
              </w:rPr>
              <w:t>（1）不同供应商的响应文件由同一单位或者个人编制；</w:t>
            </w:r>
          </w:p>
          <w:p>
            <w:pPr>
              <w:autoSpaceDE w:val="0"/>
              <w:autoSpaceDN w:val="0"/>
              <w:adjustRightInd w:val="0"/>
              <w:snapToGrid w:val="0"/>
              <w:rPr>
                <w:rFonts w:ascii="宋体" w:hAnsi="宋体"/>
                <w:szCs w:val="21"/>
              </w:rPr>
            </w:pPr>
            <w:r>
              <w:rPr>
                <w:rFonts w:hint="eastAsia" w:ascii="宋体" w:hAnsi="宋体"/>
                <w:szCs w:val="21"/>
              </w:rPr>
              <w:t>（2）不同供应商委托同一单位或者个人办理投标事宜；</w:t>
            </w:r>
          </w:p>
          <w:p>
            <w:pPr>
              <w:autoSpaceDE w:val="0"/>
              <w:autoSpaceDN w:val="0"/>
              <w:adjustRightInd w:val="0"/>
              <w:snapToGrid w:val="0"/>
              <w:rPr>
                <w:rFonts w:ascii="宋体" w:hAnsi="宋体"/>
                <w:szCs w:val="21"/>
              </w:rPr>
            </w:pPr>
            <w:r>
              <w:rPr>
                <w:rFonts w:hint="eastAsia" w:ascii="宋体" w:hAnsi="宋体"/>
                <w:szCs w:val="21"/>
              </w:rPr>
              <w:t>（3）不同供应商的响应文件载明的项目管理成员或者联系人员为同一人；</w:t>
            </w:r>
          </w:p>
          <w:p>
            <w:pPr>
              <w:autoSpaceDE w:val="0"/>
              <w:autoSpaceDN w:val="0"/>
              <w:adjustRightInd w:val="0"/>
              <w:snapToGrid w:val="0"/>
              <w:rPr>
                <w:rFonts w:ascii="宋体" w:hAnsi="宋体"/>
                <w:szCs w:val="21"/>
              </w:rPr>
            </w:pPr>
            <w:r>
              <w:rPr>
                <w:rFonts w:hint="eastAsia" w:ascii="宋体" w:hAnsi="宋体"/>
                <w:szCs w:val="21"/>
              </w:rPr>
              <w:t>（4）不同供应商的响应文件异常一致或者投标报价呈规律性差异；</w:t>
            </w:r>
          </w:p>
          <w:p>
            <w:pPr>
              <w:autoSpaceDE w:val="0"/>
              <w:autoSpaceDN w:val="0"/>
              <w:adjustRightInd w:val="0"/>
              <w:snapToGrid w:val="0"/>
              <w:rPr>
                <w:rFonts w:ascii="宋体" w:hAnsi="宋体"/>
                <w:szCs w:val="21"/>
              </w:rPr>
            </w:pPr>
            <w:r>
              <w:rPr>
                <w:rFonts w:hint="eastAsia" w:ascii="宋体" w:hAnsi="宋体"/>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其他要求（二）</w:t>
            </w:r>
          </w:p>
        </w:tc>
        <w:tc>
          <w:tcPr>
            <w:tcW w:w="4730" w:type="dxa"/>
            <w:vAlign w:val="center"/>
          </w:tcPr>
          <w:p>
            <w:pPr>
              <w:widowControl/>
              <w:rPr>
                <w:rFonts w:asciiTheme="minorEastAsia" w:hAnsiTheme="minorEastAsia" w:eastAsiaTheme="minorEastAsia" w:cstheme="minorEastAsia"/>
                <w:kern w:val="0"/>
                <w:szCs w:val="21"/>
              </w:rPr>
            </w:pPr>
            <w:r>
              <w:rPr>
                <w:rFonts w:hint="eastAsia" w:ascii="宋体" w:hAnsi="宋体" w:cs="宋体"/>
                <w:kern w:val="0"/>
                <w:szCs w:val="21"/>
              </w:rPr>
              <w:t>磋商文件中规定被视为无效投标其它条款的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851"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确定磋商供应商进行最后报价</w:t>
            </w:r>
          </w:p>
        </w:tc>
        <w:tc>
          <w:tcPr>
            <w:tcW w:w="3101"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磋商文件能完整、明确列明采购需求，无需要供应商提供最终设计方案或者解决方案的</w:t>
            </w:r>
          </w:p>
        </w:tc>
        <w:tc>
          <w:tcPr>
            <w:tcW w:w="4730"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在磋商结束后，磋商小组向所有通过资格性和符合性审查的磋商供应商发出报价书，并要求其在规定时间内提交最后报价。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asciiTheme="minorEastAsia" w:hAnsiTheme="minorEastAsia" w:eastAsiaTheme="minorEastAsia" w:cstheme="minorEastAsia"/>
                <w:kern w:val="0"/>
                <w:szCs w:val="21"/>
              </w:rPr>
            </w:pPr>
          </w:p>
        </w:tc>
        <w:tc>
          <w:tcPr>
            <w:tcW w:w="851" w:type="dxa"/>
            <w:vMerge w:val="continue"/>
            <w:vAlign w:val="center"/>
          </w:tcPr>
          <w:p>
            <w:pPr>
              <w:widowControl/>
              <w:jc w:val="center"/>
              <w:rPr>
                <w:rFonts w:asciiTheme="minorEastAsia" w:hAnsiTheme="minorEastAsia" w:eastAsiaTheme="minorEastAsia" w:cstheme="minorEastAsia"/>
                <w:kern w:val="0"/>
                <w:szCs w:val="21"/>
              </w:rPr>
            </w:pPr>
          </w:p>
        </w:tc>
        <w:tc>
          <w:tcPr>
            <w:tcW w:w="3101"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磋商文件不能完整、明确列明采购需求，需要由供应商提供最终设计方案或者解决方案的</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w:t>
            </w:r>
          </w:p>
        </w:tc>
        <w:tc>
          <w:tcPr>
            <w:tcW w:w="851"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评定</w:t>
            </w:r>
          </w:p>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办法</w:t>
            </w:r>
          </w:p>
        </w:tc>
        <w:tc>
          <w:tcPr>
            <w:tcW w:w="3101"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综合评分法</w:t>
            </w:r>
          </w:p>
        </w:tc>
        <w:tc>
          <w:tcPr>
            <w:tcW w:w="473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所属行业及</w:t>
            </w:r>
          </w:p>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划型标准</w:t>
            </w:r>
          </w:p>
        </w:tc>
        <w:tc>
          <w:tcPr>
            <w:tcW w:w="7831"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类型：工业 制造业……（查询划型标准）</w:t>
            </w:r>
          </w:p>
          <w:p>
            <w:pPr>
              <w:widowControl/>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小型：营业收入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p>
            <w:pPr>
              <w:widowControl/>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微型：营业收入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如符合工信部联企业【2011】300号文中对中小企业划型标准的， 需提供本单位的 《中小企业声明函》（格式见第六章）及企业相关数据资料。代理商竞标需同时提供制造商及代理商双方的数据资料（制造商直接竞标的仅需提供制造商数据资料），如果数据资料与声明函不一致的，由磋商小组判定。经磋商小组审核确认供应商符合工信部联企业【2011】300 号文中对中小企业划型标准的，将根据财库【2011】181号文的相关规定在评定时对小型和微型企业产品的价格给予6%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ascii="宋体" w:hAnsi="宋体" w:cs="宋体"/>
                <w:snapToGrid w:val="0"/>
                <w:kern w:val="0"/>
                <w:szCs w:val="21"/>
                <w:lang w:val="zh-CN"/>
              </w:rPr>
            </w:pPr>
          </w:p>
          <w:p>
            <w:pPr>
              <w:autoSpaceDE w:val="0"/>
              <w:autoSpaceDN w:val="0"/>
              <w:adjustRightInd w:val="0"/>
              <w:jc w:val="center"/>
              <w:rPr>
                <w:rFonts w:asciiTheme="minorEastAsia" w:hAnsiTheme="minorEastAsia" w:cstheme="minorEastAsia"/>
                <w:kern w:val="0"/>
                <w:szCs w:val="21"/>
              </w:rPr>
            </w:pPr>
            <w:r>
              <w:rPr>
                <w:rFonts w:hint="eastAsia" w:ascii="宋体" w:hAnsi="宋体" w:cs="宋体"/>
                <w:snapToGrid w:val="0"/>
                <w:kern w:val="0"/>
                <w:szCs w:val="21"/>
                <w:lang w:val="zh-CN"/>
              </w:rPr>
              <w:t>节能</w:t>
            </w:r>
            <w:r>
              <w:rPr>
                <w:rFonts w:hint="eastAsia" w:ascii="宋体" w:hAnsi="宋体" w:cs="宋体"/>
                <w:snapToGrid w:val="0"/>
                <w:kern w:val="0"/>
                <w:szCs w:val="21"/>
              </w:rPr>
              <w:t>环保</w:t>
            </w:r>
          </w:p>
        </w:tc>
        <w:tc>
          <w:tcPr>
            <w:tcW w:w="7831" w:type="dxa"/>
            <w:gridSpan w:val="2"/>
            <w:vAlign w:val="center"/>
          </w:tcPr>
          <w:p>
            <w:pPr>
              <w:autoSpaceDE w:val="0"/>
              <w:autoSpaceDN w:val="0"/>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asciiTheme="minorEastAsia" w:hAnsiTheme="minorEastAsia" w:eastAsiaTheme="minorEastAsia" w:cstheme="minorEastAsia"/>
          <w:b/>
          <w:szCs w:val="21"/>
        </w:rPr>
      </w:pPr>
      <w:bookmarkStart w:id="115" w:name="_Toc29954"/>
      <w:r>
        <w:rPr>
          <w:rFonts w:hint="eastAsia" w:asciiTheme="minorEastAsia" w:hAnsiTheme="minorEastAsia" w:eastAsiaTheme="minorEastAsia" w:cstheme="minorEastAsia"/>
          <w:b/>
          <w:szCs w:val="21"/>
        </w:rPr>
        <w:t>二、计算办法</w:t>
      </w:r>
      <w:bookmarkEnd w:id="115"/>
    </w:p>
    <w:tbl>
      <w:tblPr>
        <w:tblStyle w:val="2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分值构成(总分100分)</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评标基准价计算方法</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评分因素</w:t>
            </w:r>
          </w:p>
        </w:tc>
        <w:tc>
          <w:tcPr>
            <w:tcW w:w="6322"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技术部分评分标准</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商务部分评分标准</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竞标报价评分标准</w:t>
            </w:r>
          </w:p>
        </w:tc>
        <w:tc>
          <w:tcPr>
            <w:tcW w:w="632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各供应商的最终得分计算办法</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供应商最后得分相同时对供应商进行排序的方法</w:t>
            </w:r>
          </w:p>
        </w:tc>
        <w:tc>
          <w:tcPr>
            <w:tcW w:w="6322" w:type="dxa"/>
            <w:vAlign w:val="center"/>
          </w:tcPr>
          <w:p>
            <w:pPr>
              <w:widowControl/>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得分相同的供应商，按竞标报价由低到高顺序排列。得分且报价相同的，按技术指标优劣顺序排列。</w:t>
            </w:r>
          </w:p>
        </w:tc>
      </w:tr>
    </w:tbl>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p>
    <w:p>
      <w:pPr>
        <w:spacing w:line="360" w:lineRule="auto"/>
        <w:rPr>
          <w:rFonts w:asciiTheme="minorEastAsia" w:hAnsiTheme="minorEastAsia" w:eastAsiaTheme="minorEastAsia" w:cstheme="minorEastAsia"/>
          <w:b/>
          <w:szCs w:val="21"/>
        </w:rPr>
      </w:pPr>
    </w:p>
    <w:p>
      <w:pPr>
        <w:spacing w:line="360" w:lineRule="auto"/>
        <w:rPr>
          <w:rFonts w:asciiTheme="minorEastAsia" w:hAnsiTheme="minorEastAsia" w:eastAsiaTheme="minorEastAsia" w:cstheme="minorEastAsia"/>
          <w:b/>
          <w:szCs w:val="21"/>
        </w:rPr>
      </w:pPr>
    </w:p>
    <w:p>
      <w:pPr>
        <w:spacing w:line="360" w:lineRule="auto"/>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textWrapping"/>
      </w:r>
      <w:bookmarkStart w:id="116" w:name="_Toc15414"/>
      <w:r>
        <w:rPr>
          <w:rFonts w:hint="eastAsia" w:asciiTheme="minorEastAsia" w:hAnsiTheme="minorEastAsia" w:eastAsiaTheme="minorEastAsia" w:cstheme="minorEastAsia"/>
          <w:b/>
          <w:szCs w:val="21"/>
        </w:rPr>
        <w:t>三、评分细则</w:t>
      </w:r>
      <w:bookmarkEnd w:id="116"/>
    </w:p>
    <w:tbl>
      <w:tblPr>
        <w:tblStyle w:val="26"/>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376"/>
        <w:gridCol w:w="6512"/>
        <w:gridCol w:w="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736" w:type="dxa"/>
            <w:tcBorders>
              <w:top w:val="single" w:color="auto" w:sz="12" w:space="0"/>
            </w:tcBorders>
            <w:vAlign w:val="center"/>
          </w:tcPr>
          <w:p>
            <w:pPr>
              <w:spacing w:line="360" w:lineRule="atLeast"/>
              <w:jc w:val="center"/>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zCs w:val="21"/>
              </w:rPr>
              <w:t>类别</w:t>
            </w:r>
          </w:p>
        </w:tc>
        <w:tc>
          <w:tcPr>
            <w:tcW w:w="1376" w:type="dxa"/>
            <w:tcBorders>
              <w:top w:val="single" w:color="auto" w:sz="12" w:space="0"/>
            </w:tcBorders>
            <w:vAlign w:val="center"/>
          </w:tcPr>
          <w:p>
            <w:pPr>
              <w:spacing w:line="360" w:lineRule="atLeast"/>
              <w:jc w:val="center"/>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zCs w:val="21"/>
              </w:rPr>
              <w:t>评审因素</w:t>
            </w:r>
          </w:p>
        </w:tc>
        <w:tc>
          <w:tcPr>
            <w:tcW w:w="6512" w:type="dxa"/>
            <w:tcBorders>
              <w:top w:val="single" w:color="auto" w:sz="12" w:space="0"/>
            </w:tcBorders>
            <w:vAlign w:val="center"/>
          </w:tcPr>
          <w:p>
            <w:pPr>
              <w:spacing w:line="360" w:lineRule="atLeast"/>
              <w:jc w:val="center"/>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zCs w:val="21"/>
              </w:rPr>
              <w:t>评审标准</w:t>
            </w:r>
          </w:p>
        </w:tc>
        <w:tc>
          <w:tcPr>
            <w:tcW w:w="664" w:type="dxa"/>
            <w:tcBorders>
              <w:top w:val="single" w:color="auto" w:sz="12" w:space="0"/>
            </w:tcBorders>
            <w:vAlign w:val="center"/>
          </w:tcPr>
          <w:p>
            <w:pPr>
              <w:spacing w:line="36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736" w:type="dxa"/>
            <w:vAlign w:val="center"/>
          </w:tcPr>
          <w:p>
            <w:pPr>
              <w:widowControl/>
              <w:spacing w:line="260" w:lineRule="exact"/>
              <w:jc w:val="center"/>
              <w:textAlignment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kern w:val="0"/>
                <w:szCs w:val="21"/>
                <w:lang w:bidi="ar"/>
              </w:rPr>
              <w:t>竞标报价</w:t>
            </w:r>
            <w:r>
              <w:rPr>
                <w:rFonts w:hint="eastAsia" w:asciiTheme="minorEastAsia" w:hAnsiTheme="minorEastAsia" w:eastAsiaTheme="minorEastAsia" w:cstheme="minorEastAsia"/>
                <w:kern w:val="0"/>
                <w:szCs w:val="21"/>
                <w:lang w:bidi="ar"/>
              </w:rPr>
              <w:br w:type="textWrapping"/>
            </w:r>
            <w:r>
              <w:rPr>
                <w:rFonts w:hint="eastAsia" w:asciiTheme="minorEastAsia" w:hAnsiTheme="minorEastAsia" w:eastAsiaTheme="minorEastAsia" w:cstheme="minorEastAsia"/>
                <w:kern w:val="0"/>
                <w:szCs w:val="21"/>
                <w:lang w:bidi="ar"/>
              </w:rPr>
              <w:t>20分</w:t>
            </w:r>
          </w:p>
        </w:tc>
        <w:tc>
          <w:tcPr>
            <w:tcW w:w="1376" w:type="dxa"/>
            <w:vAlign w:val="center"/>
          </w:tcPr>
          <w:p>
            <w:pPr>
              <w:widowControl/>
              <w:spacing w:line="260" w:lineRule="exact"/>
              <w:jc w:val="center"/>
              <w:textAlignment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kern w:val="0"/>
                <w:szCs w:val="21"/>
                <w:lang w:bidi="ar"/>
              </w:rPr>
              <w:t>最后报价</w:t>
            </w:r>
          </w:p>
        </w:tc>
        <w:tc>
          <w:tcPr>
            <w:tcW w:w="6512" w:type="dxa"/>
            <w:vAlign w:val="center"/>
          </w:tcPr>
          <w:p>
            <w:pPr>
              <w:widowControl/>
              <w:spacing w:line="260" w:lineRule="exact"/>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1、报价采用低价优先法计算，即满足磋商采购文件要求且报价最低的报价为磋商基准价，其报价分为满分</w:t>
            </w:r>
            <w:r>
              <w:rPr>
                <w:rFonts w:hint="eastAsia" w:asciiTheme="minorEastAsia" w:hAnsiTheme="minorEastAsia" w:eastAsiaTheme="minorEastAsia" w:cstheme="minorEastAsia"/>
                <w:kern w:val="0"/>
                <w:szCs w:val="21"/>
                <w:lang w:bidi="ar"/>
              </w:rPr>
              <w:t>20</w:t>
            </w:r>
            <w:r>
              <w:rPr>
                <w:rFonts w:hint="eastAsia" w:asciiTheme="minorEastAsia" w:hAnsiTheme="minorEastAsia" w:eastAsiaTheme="minorEastAsia" w:cstheme="minorEastAsia"/>
              </w:rPr>
              <w:t>分；</w:t>
            </w:r>
          </w:p>
          <w:p>
            <w:pPr>
              <w:widowControl/>
              <w:spacing w:line="260" w:lineRule="exact"/>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2、其他供应商的报价分按照下列公式计算：</w:t>
            </w:r>
          </w:p>
          <w:p>
            <w:pPr>
              <w:widowControl/>
              <w:spacing w:line="260" w:lineRule="exact"/>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报价分=（磋商基准价/磋商报价）×</w:t>
            </w:r>
            <w:r>
              <w:rPr>
                <w:rFonts w:hint="eastAsia" w:asciiTheme="minorEastAsia" w:hAnsiTheme="minorEastAsia" w:eastAsiaTheme="minorEastAsia" w:cstheme="minorEastAsia"/>
                <w:kern w:val="0"/>
                <w:szCs w:val="21"/>
                <w:lang w:bidi="ar"/>
              </w:rPr>
              <w:t>20</w:t>
            </w:r>
          </w:p>
          <w:p>
            <w:pPr>
              <w:widowControl/>
              <w:spacing w:line="260" w:lineRule="exact"/>
              <w:jc w:val="left"/>
              <w:textAlignment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备注：1、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260" w:lineRule="exact"/>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2、符合本磋商文件第四章“政策支持”条件的，在评审时予以价格扣除，用扣除后的价格参与评审。</w:t>
            </w:r>
          </w:p>
        </w:tc>
        <w:tc>
          <w:tcPr>
            <w:tcW w:w="664" w:type="dxa"/>
            <w:vAlign w:val="center"/>
          </w:tcPr>
          <w:p>
            <w:pPr>
              <w:widowControl/>
              <w:spacing w:line="26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kern w:val="0"/>
                <w:szCs w:val="21"/>
                <w:lang w:bidi="ar"/>
              </w:rPr>
              <w:t>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商务30分</w:t>
            </w:r>
          </w:p>
        </w:tc>
        <w:tc>
          <w:tcPr>
            <w:tcW w:w="1376" w:type="dxa"/>
            <w:vAlign w:val="center"/>
          </w:tcPr>
          <w:p>
            <w:pPr>
              <w:spacing w:line="360" w:lineRule="auto"/>
              <w:jc w:val="center"/>
              <w:rPr>
                <w:rFonts w:ascii="宋体" w:hAnsi="宋体" w:cs="宋体"/>
                <w:szCs w:val="21"/>
              </w:rPr>
            </w:pPr>
            <w:r>
              <w:rPr>
                <w:rFonts w:hint="eastAsia" w:ascii="宋体" w:hAnsi="宋体" w:cs="宋体"/>
                <w:szCs w:val="21"/>
              </w:rPr>
              <w:t>类似业绩</w:t>
            </w:r>
          </w:p>
        </w:tc>
        <w:tc>
          <w:tcPr>
            <w:tcW w:w="6512" w:type="dxa"/>
            <w:vAlign w:val="center"/>
          </w:tcPr>
          <w:p>
            <w:pPr>
              <w:adjustRightInd w:val="0"/>
              <w:snapToGrid w:val="0"/>
              <w:spacing w:before="156" w:beforeLines="50" w:line="360" w:lineRule="auto"/>
              <w:rPr>
                <w:rFonts w:ascii="宋体" w:hAnsi="宋体" w:cs="宋体"/>
                <w:bCs/>
                <w:szCs w:val="21"/>
              </w:rPr>
            </w:pPr>
            <w:r>
              <w:rPr>
                <w:rFonts w:hint="eastAsia" w:ascii="宋体" w:hAnsi="宋体" w:cs="宋体"/>
                <w:bCs/>
                <w:szCs w:val="21"/>
              </w:rPr>
              <w:t>近三年（磋商截止时间往前推算36个月）具有类似事业编制招聘项目业绩的，每个得2分，最多得10分；（需提供合同真彩扫描件并加盖公章，未提供不得分）</w:t>
            </w:r>
          </w:p>
        </w:tc>
        <w:tc>
          <w:tcPr>
            <w:tcW w:w="664" w:type="dxa"/>
            <w:vAlign w:val="center"/>
          </w:tcPr>
          <w:p>
            <w:pPr>
              <w:spacing w:line="360" w:lineRule="auto"/>
              <w:jc w:val="center"/>
              <w:rPr>
                <w:rFonts w:ascii="宋体" w:hAnsi="宋体" w:cs="宋体"/>
                <w:szCs w:val="21"/>
              </w:rPr>
            </w:pPr>
            <w:r>
              <w:rPr>
                <w:rFonts w:hint="eastAsia" w:ascii="宋体" w:hAnsi="宋体" w:cs="宋体"/>
                <w:szCs w:val="21"/>
              </w:rPr>
              <w:t>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vAlign w:val="center"/>
          </w:tcPr>
          <w:p>
            <w:pPr>
              <w:widowControl/>
              <w:spacing w:line="360" w:lineRule="auto"/>
              <w:jc w:val="center"/>
              <w:textAlignment w:val="center"/>
              <w:rPr>
                <w:rFonts w:ascii="宋体" w:hAnsi="宋体" w:cs="宋体"/>
                <w:szCs w:val="21"/>
              </w:rPr>
            </w:pPr>
            <w:r>
              <w:rPr>
                <w:rFonts w:hint="eastAsia" w:ascii="宋体" w:hAnsi="宋体" w:cs="宋体"/>
                <w:szCs w:val="21"/>
              </w:rPr>
              <w:t>服务反馈及满意度</w:t>
            </w:r>
          </w:p>
        </w:tc>
        <w:tc>
          <w:tcPr>
            <w:tcW w:w="6512" w:type="dxa"/>
            <w:vAlign w:val="center"/>
          </w:tcPr>
          <w:p>
            <w:pPr>
              <w:widowControl/>
              <w:spacing w:line="360" w:lineRule="auto"/>
              <w:jc w:val="left"/>
              <w:textAlignment w:val="center"/>
              <w:rPr>
                <w:rFonts w:ascii="宋体" w:hAnsi="宋体" w:cs="宋体"/>
                <w:szCs w:val="21"/>
              </w:rPr>
            </w:pPr>
            <w:r>
              <w:rPr>
                <w:rFonts w:hint="eastAsia" w:ascii="宋体" w:hAnsi="宋体" w:cs="宋体"/>
                <w:szCs w:val="21"/>
              </w:rPr>
              <w:t>近3年内（磋商截止时间往前推算36个月）以来业主出具的服务良好评价证明，每提供1个业主单位的评价得1分，最高得5分（需提供盖用户单位公章相关证明，未提供不得分）</w:t>
            </w:r>
          </w:p>
        </w:tc>
        <w:tc>
          <w:tcPr>
            <w:tcW w:w="664" w:type="dxa"/>
            <w:vAlign w:val="center"/>
          </w:tcPr>
          <w:p>
            <w:pPr>
              <w:spacing w:line="360" w:lineRule="auto"/>
              <w:jc w:val="center"/>
              <w:rPr>
                <w:rFonts w:ascii="宋体" w:hAnsi="宋体" w:cs="宋体"/>
                <w:spacing w:val="-6"/>
                <w:szCs w:val="21"/>
              </w:rPr>
            </w:pPr>
            <w:r>
              <w:rPr>
                <w:rFonts w:hint="eastAsia" w:ascii="宋体" w:hAnsi="宋体" w:cs="宋体"/>
                <w:spacing w:val="-6"/>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vAlign w:val="center"/>
          </w:tcPr>
          <w:p>
            <w:pPr>
              <w:widowControl/>
              <w:spacing w:line="360" w:lineRule="auto"/>
              <w:jc w:val="center"/>
              <w:textAlignment w:val="center"/>
              <w:rPr>
                <w:rFonts w:ascii="宋体" w:hAnsi="宋体" w:cs="宋体"/>
                <w:kern w:val="0"/>
                <w:szCs w:val="21"/>
              </w:rPr>
            </w:pPr>
            <w:r>
              <w:rPr>
                <w:rFonts w:hint="eastAsia" w:ascii="宋体" w:hAnsi="宋体" w:cs="宋体"/>
                <w:kern w:val="0"/>
                <w:szCs w:val="21"/>
              </w:rPr>
              <w:t>认证</w:t>
            </w:r>
          </w:p>
          <w:p>
            <w:pPr>
              <w:widowControl/>
              <w:spacing w:line="360" w:lineRule="auto"/>
              <w:jc w:val="center"/>
              <w:textAlignment w:val="center"/>
              <w:rPr>
                <w:rFonts w:ascii="宋体" w:hAnsi="宋体" w:cs="宋体"/>
                <w:kern w:val="0"/>
                <w:szCs w:val="21"/>
              </w:rPr>
            </w:pPr>
            <w:r>
              <w:rPr>
                <w:rFonts w:hint="eastAsia" w:ascii="宋体" w:hAnsi="宋体" w:cs="宋体"/>
                <w:kern w:val="0"/>
                <w:szCs w:val="21"/>
              </w:rPr>
              <w:t>资质</w:t>
            </w:r>
          </w:p>
        </w:tc>
        <w:tc>
          <w:tcPr>
            <w:tcW w:w="6512" w:type="dxa"/>
            <w:vAlign w:val="center"/>
          </w:tcPr>
          <w:p>
            <w:pPr>
              <w:widowControl/>
              <w:spacing w:line="360" w:lineRule="auto"/>
              <w:jc w:val="left"/>
              <w:textAlignment w:val="center"/>
              <w:rPr>
                <w:rFonts w:ascii="宋体" w:hAnsi="宋体" w:cs="宋体"/>
                <w:szCs w:val="21"/>
              </w:rPr>
            </w:pPr>
            <w:r>
              <w:rPr>
                <w:rFonts w:hint="eastAsia" w:ascii="宋体" w:hAnsi="宋体" w:cs="宋体"/>
                <w:szCs w:val="21"/>
              </w:rPr>
              <w:t>供应商具有有效的 ISO9001（GB/T19001）质量管理体系认证证书，得1 分；具有有效的ISO14001(GB/T24001)  环境管理体系认证证书，得 1分；具有有效的OHSAS18001 (GB/T28001) 职业健康安全管理体系认证证书，得 1 分。</w:t>
            </w:r>
          </w:p>
        </w:tc>
        <w:tc>
          <w:tcPr>
            <w:tcW w:w="664" w:type="dxa"/>
            <w:vAlign w:val="center"/>
          </w:tcPr>
          <w:p>
            <w:pPr>
              <w:spacing w:line="360" w:lineRule="auto"/>
              <w:jc w:val="center"/>
              <w:rPr>
                <w:rFonts w:ascii="宋体" w:hAnsi="宋体" w:cs="宋体"/>
                <w:szCs w:val="21"/>
              </w:rPr>
            </w:pPr>
            <w:r>
              <w:rPr>
                <w:rFonts w:hint="eastAsia" w:ascii="宋体" w:hAnsi="宋体" w:cs="宋体"/>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tcBorders>
              <w:bottom w:val="single" w:color="auto" w:sz="4" w:space="0"/>
            </w:tcBorders>
            <w:vAlign w:val="center"/>
          </w:tcPr>
          <w:p>
            <w:pPr>
              <w:widowControl/>
              <w:spacing w:line="360" w:lineRule="auto"/>
              <w:jc w:val="center"/>
              <w:textAlignment w:val="center"/>
              <w:rPr>
                <w:rFonts w:ascii="宋体" w:hAnsi="宋体" w:cs="宋体"/>
                <w:kern w:val="0"/>
                <w:szCs w:val="21"/>
              </w:rPr>
            </w:pPr>
            <w:r>
              <w:rPr>
                <w:rFonts w:hint="eastAsia" w:ascii="宋体" w:hAnsi="宋体" w:cs="宋体"/>
                <w:kern w:val="0"/>
                <w:szCs w:val="21"/>
              </w:rPr>
              <w:t>财务</w:t>
            </w:r>
          </w:p>
          <w:p>
            <w:pPr>
              <w:widowControl/>
              <w:spacing w:line="360" w:lineRule="auto"/>
              <w:jc w:val="center"/>
              <w:textAlignment w:val="center"/>
              <w:rPr>
                <w:rFonts w:ascii="宋体" w:hAnsi="宋体" w:cs="宋体"/>
                <w:kern w:val="0"/>
                <w:szCs w:val="21"/>
              </w:rPr>
            </w:pPr>
            <w:r>
              <w:rPr>
                <w:rFonts w:hint="eastAsia" w:ascii="宋体" w:hAnsi="宋体" w:cs="宋体"/>
                <w:kern w:val="0"/>
                <w:szCs w:val="21"/>
              </w:rPr>
              <w:t>状况</w:t>
            </w:r>
          </w:p>
        </w:tc>
        <w:tc>
          <w:tcPr>
            <w:tcW w:w="6512" w:type="dxa"/>
            <w:tcBorders>
              <w:bottom w:val="single" w:color="auto" w:sz="4" w:space="0"/>
            </w:tcBorders>
            <w:vAlign w:val="center"/>
          </w:tcPr>
          <w:p>
            <w:pPr>
              <w:widowControl/>
              <w:spacing w:line="360" w:lineRule="auto"/>
              <w:jc w:val="left"/>
              <w:textAlignment w:val="center"/>
              <w:rPr>
                <w:rFonts w:ascii="宋体" w:hAnsi="宋体" w:cs="宋体"/>
                <w:szCs w:val="21"/>
              </w:rPr>
            </w:pPr>
            <w:r>
              <w:rPr>
                <w:rFonts w:hint="eastAsia" w:ascii="宋体" w:hAnsi="宋体" w:cs="宋体"/>
                <w:szCs w:val="21"/>
              </w:rPr>
              <w:t>根据供应商提供的近三年（2016、2017、2018或2017、2018、2019）财务报告，对其经营状况、财务状况相互比较：</w:t>
            </w:r>
          </w:p>
          <w:p>
            <w:pPr>
              <w:widowControl/>
              <w:spacing w:line="360" w:lineRule="auto"/>
              <w:jc w:val="left"/>
              <w:textAlignment w:val="center"/>
              <w:rPr>
                <w:rFonts w:ascii="宋体" w:hAnsi="宋体" w:cs="宋体"/>
                <w:szCs w:val="21"/>
              </w:rPr>
            </w:pPr>
            <w:r>
              <w:rPr>
                <w:rFonts w:hint="eastAsia" w:ascii="宋体" w:hAnsi="宋体" w:cs="宋体"/>
                <w:szCs w:val="21"/>
              </w:rPr>
              <w:t>连续盈利，偿债能力、盈利能力和抗风险能力强的，得5分；</w:t>
            </w:r>
          </w:p>
          <w:p>
            <w:pPr>
              <w:widowControl/>
              <w:spacing w:line="360" w:lineRule="auto"/>
              <w:jc w:val="left"/>
              <w:textAlignment w:val="center"/>
              <w:rPr>
                <w:rFonts w:ascii="宋体" w:hAnsi="宋体" w:cs="宋体"/>
                <w:szCs w:val="21"/>
              </w:rPr>
            </w:pPr>
            <w:r>
              <w:rPr>
                <w:rFonts w:hint="eastAsia" w:ascii="宋体" w:hAnsi="宋体" w:cs="宋体"/>
                <w:szCs w:val="21"/>
              </w:rPr>
              <w:t>盈利情况一般，偿债能力和抗风险能力较弱的，得3分；</w:t>
            </w:r>
          </w:p>
          <w:p>
            <w:pPr>
              <w:widowControl/>
              <w:spacing w:line="360" w:lineRule="auto"/>
              <w:jc w:val="left"/>
              <w:textAlignment w:val="center"/>
              <w:rPr>
                <w:rFonts w:ascii="宋体" w:hAnsi="宋体" w:cs="宋体"/>
                <w:szCs w:val="21"/>
              </w:rPr>
            </w:pPr>
            <w:r>
              <w:rPr>
                <w:rFonts w:hint="eastAsia" w:ascii="宋体" w:hAnsi="宋体" w:cs="宋体"/>
                <w:szCs w:val="21"/>
              </w:rPr>
              <w:t>无盈利，偿债能力和抗风险能力差的，得1分；</w:t>
            </w:r>
          </w:p>
          <w:p>
            <w:pPr>
              <w:widowControl/>
              <w:spacing w:line="360" w:lineRule="auto"/>
              <w:jc w:val="left"/>
              <w:textAlignment w:val="center"/>
              <w:rPr>
                <w:rFonts w:ascii="宋体" w:hAnsi="宋体" w:cs="宋体"/>
                <w:szCs w:val="21"/>
              </w:rPr>
            </w:pPr>
            <w:r>
              <w:rPr>
                <w:rFonts w:hint="eastAsia" w:ascii="宋体" w:hAnsi="宋体" w:cs="宋体"/>
                <w:szCs w:val="21"/>
              </w:rPr>
              <w:t>（成立不足三年的按公司成立时间起算）</w:t>
            </w:r>
          </w:p>
        </w:tc>
        <w:tc>
          <w:tcPr>
            <w:tcW w:w="664" w:type="dxa"/>
            <w:tcBorders>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tcBorders>
              <w:bottom w:val="single" w:color="auto" w:sz="4" w:space="0"/>
            </w:tcBorders>
            <w:vAlign w:val="center"/>
          </w:tcPr>
          <w:p>
            <w:pPr>
              <w:widowControl/>
              <w:spacing w:line="360" w:lineRule="auto"/>
              <w:jc w:val="center"/>
              <w:textAlignment w:val="center"/>
              <w:rPr>
                <w:rFonts w:ascii="宋体" w:hAnsi="宋体" w:cs="宋体"/>
                <w:kern w:val="0"/>
                <w:szCs w:val="21"/>
              </w:rPr>
            </w:pPr>
            <w:r>
              <w:rPr>
                <w:rFonts w:hint="eastAsia" w:ascii="宋体" w:hAnsi="宋体" w:cs="宋体"/>
                <w:kern w:val="0"/>
                <w:szCs w:val="21"/>
              </w:rPr>
              <w:t>项目负责人</w:t>
            </w:r>
          </w:p>
        </w:tc>
        <w:tc>
          <w:tcPr>
            <w:tcW w:w="6512" w:type="dxa"/>
            <w:tcBorders>
              <w:bottom w:val="single" w:color="auto" w:sz="4" w:space="0"/>
            </w:tcBorders>
            <w:vAlign w:val="center"/>
          </w:tcPr>
          <w:p>
            <w:pPr>
              <w:widowControl/>
              <w:spacing w:line="360" w:lineRule="auto"/>
              <w:jc w:val="left"/>
              <w:textAlignment w:val="center"/>
              <w:rPr>
                <w:rFonts w:ascii="宋体" w:hAnsi="宋体" w:cs="宋体"/>
                <w:szCs w:val="21"/>
              </w:rPr>
            </w:pPr>
            <w:r>
              <w:rPr>
                <w:rFonts w:hint="eastAsia"/>
              </w:rPr>
              <w:t>项目负责人近3年内</w:t>
            </w:r>
            <w:r>
              <w:rPr>
                <w:rFonts w:hint="eastAsia" w:ascii="宋体" w:hAnsi="宋体" w:cs="宋体"/>
                <w:szCs w:val="21"/>
              </w:rPr>
              <w:t>（磋商截止时间往前推算36个月）</w:t>
            </w:r>
            <w:r>
              <w:rPr>
                <w:rFonts w:hint="eastAsia"/>
              </w:rPr>
              <w:t>有过事业编制人员招聘面试服务项目经历，1次得1分，最高不超过3分。提供相应证明材料。</w:t>
            </w:r>
          </w:p>
        </w:tc>
        <w:tc>
          <w:tcPr>
            <w:tcW w:w="664" w:type="dxa"/>
            <w:tcBorders>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tcBorders>
              <w:bottom w:val="single" w:color="auto" w:sz="4" w:space="0"/>
            </w:tcBorders>
            <w:vAlign w:val="center"/>
          </w:tcPr>
          <w:p>
            <w:pPr>
              <w:widowControl/>
              <w:spacing w:line="360" w:lineRule="auto"/>
              <w:jc w:val="center"/>
              <w:textAlignment w:val="center"/>
              <w:rPr>
                <w:rFonts w:ascii="宋体" w:hAnsi="宋体" w:cs="宋体"/>
                <w:kern w:val="0"/>
                <w:szCs w:val="21"/>
              </w:rPr>
            </w:pPr>
            <w:r>
              <w:rPr>
                <w:rFonts w:hint="eastAsia" w:ascii="宋体" w:hAnsi="宋体" w:cs="宋体"/>
                <w:kern w:val="0"/>
                <w:szCs w:val="21"/>
              </w:rPr>
              <w:t>荣誉</w:t>
            </w:r>
          </w:p>
        </w:tc>
        <w:tc>
          <w:tcPr>
            <w:tcW w:w="6512" w:type="dxa"/>
            <w:tcBorders>
              <w:bottom w:val="single" w:color="auto" w:sz="4" w:space="0"/>
            </w:tcBorders>
            <w:vAlign w:val="center"/>
          </w:tcPr>
          <w:p>
            <w:pPr>
              <w:widowControl/>
              <w:spacing w:line="360" w:lineRule="auto"/>
              <w:jc w:val="left"/>
              <w:textAlignment w:val="center"/>
              <w:rPr>
                <w:rFonts w:ascii="宋体" w:hAnsi="宋体" w:cs="宋体"/>
                <w:szCs w:val="21"/>
              </w:rPr>
            </w:pPr>
            <w:r>
              <w:rPr>
                <w:rFonts w:hint="eastAsia" w:ascii="宋体" w:hAnsi="宋体" w:cs="宋体"/>
                <w:szCs w:val="21"/>
              </w:rPr>
              <w:t>供应商获得国行业内奖励或荣誉证书的，每个得1分，最多得4分；</w:t>
            </w:r>
          </w:p>
        </w:tc>
        <w:tc>
          <w:tcPr>
            <w:tcW w:w="664" w:type="dxa"/>
            <w:tcBorders>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技术服务50分</w:t>
            </w:r>
          </w:p>
        </w:tc>
        <w:tc>
          <w:tcPr>
            <w:tcW w:w="1376" w:type="dxa"/>
            <w:vAlign w:val="center"/>
          </w:tcPr>
          <w:p>
            <w:pPr>
              <w:spacing w:line="360" w:lineRule="auto"/>
              <w:jc w:val="center"/>
              <w:rPr>
                <w:rFonts w:ascii="宋体" w:hAnsi="宋体" w:cs="宋体"/>
                <w:spacing w:val="-6"/>
                <w:szCs w:val="21"/>
              </w:rPr>
            </w:pPr>
            <w:r>
              <w:rPr>
                <w:rFonts w:hint="eastAsia" w:ascii="宋体" w:hAnsi="宋体" w:cs="宋体"/>
                <w:spacing w:val="-6"/>
                <w:szCs w:val="21"/>
              </w:rPr>
              <w:t>实施</w:t>
            </w:r>
          </w:p>
          <w:p>
            <w:pPr>
              <w:spacing w:line="360" w:lineRule="auto"/>
              <w:jc w:val="center"/>
              <w:rPr>
                <w:rFonts w:ascii="宋体" w:hAnsi="宋体" w:cs="宋体"/>
                <w:spacing w:val="-6"/>
                <w:szCs w:val="21"/>
              </w:rPr>
            </w:pPr>
            <w:r>
              <w:rPr>
                <w:rFonts w:hint="eastAsia" w:ascii="宋体" w:hAnsi="宋体" w:cs="宋体"/>
                <w:spacing w:val="-6"/>
                <w:szCs w:val="21"/>
              </w:rPr>
              <w:t>方案</w:t>
            </w:r>
          </w:p>
        </w:tc>
        <w:tc>
          <w:tcPr>
            <w:tcW w:w="6512" w:type="dxa"/>
            <w:vAlign w:val="center"/>
          </w:tcPr>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供应商根据本项目的特点和要求，制定出本项目的计划实施方案，包括但不限于以下内容：整体工作方案、工作流程、落实防疫要求、管理服务模式、进度控制措施等方面内容。</w:t>
            </w:r>
          </w:p>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科学、合理，针对性强，8分；</w:t>
            </w:r>
          </w:p>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合理，可行，6分；</w:t>
            </w:r>
          </w:p>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欠合理，基本可行，4分；</w:t>
            </w:r>
          </w:p>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不可行，0 分。</w:t>
            </w:r>
          </w:p>
        </w:tc>
        <w:tc>
          <w:tcPr>
            <w:tcW w:w="664" w:type="dxa"/>
            <w:vAlign w:val="center"/>
          </w:tcPr>
          <w:p>
            <w:pPr>
              <w:spacing w:line="360" w:lineRule="auto"/>
              <w:ind w:left="-4" w:leftChars="-2" w:firstLine="1" w:firstLineChars="1"/>
              <w:jc w:val="center"/>
              <w:rPr>
                <w:rFonts w:ascii="宋体" w:hAnsi="宋体" w:cs="宋体"/>
                <w:spacing w:val="-6"/>
                <w:szCs w:val="21"/>
              </w:rPr>
            </w:pPr>
            <w:r>
              <w:rPr>
                <w:rFonts w:hint="eastAsia" w:ascii="宋体" w:hAnsi="宋体" w:cs="宋体"/>
                <w:spacing w:val="-6"/>
                <w:szCs w:val="21"/>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jc w:val="center"/>
              <w:rPr>
                <w:rFonts w:asciiTheme="minorEastAsia" w:hAnsiTheme="minorEastAsia" w:eastAsiaTheme="minorEastAsia" w:cstheme="minorEastAsia"/>
                <w:spacing w:val="-6"/>
                <w:szCs w:val="21"/>
              </w:rPr>
            </w:pPr>
          </w:p>
        </w:tc>
        <w:tc>
          <w:tcPr>
            <w:tcW w:w="1376" w:type="dxa"/>
            <w:vAlign w:val="center"/>
          </w:tcPr>
          <w:p>
            <w:pPr>
              <w:spacing w:line="360" w:lineRule="auto"/>
              <w:jc w:val="center"/>
              <w:rPr>
                <w:rFonts w:ascii="宋体" w:hAnsi="宋体" w:cs="宋体"/>
                <w:spacing w:val="-6"/>
                <w:szCs w:val="21"/>
              </w:rPr>
            </w:pPr>
            <w:r>
              <w:rPr>
                <w:rFonts w:hint="eastAsia" w:ascii="宋体" w:hAnsi="宋体" w:cs="宋体"/>
                <w:spacing w:val="-6"/>
                <w:szCs w:val="21"/>
              </w:rPr>
              <w:t>应急方案</w:t>
            </w:r>
          </w:p>
        </w:tc>
        <w:tc>
          <w:tcPr>
            <w:tcW w:w="6512" w:type="dxa"/>
            <w:vAlign w:val="center"/>
          </w:tcPr>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提供突发事件应急方案，根据对突发事件（如卫生防疫、卫生急救、消防等问题）处理方案等的描述及可性性等进行评分，</w:t>
            </w:r>
          </w:p>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科学、合理，针对性强，8分；</w:t>
            </w:r>
          </w:p>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合理，可行，6分；</w:t>
            </w:r>
          </w:p>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欠合理，基本可行，4分；</w:t>
            </w:r>
          </w:p>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不可行，0 分。</w:t>
            </w:r>
          </w:p>
        </w:tc>
        <w:tc>
          <w:tcPr>
            <w:tcW w:w="664" w:type="dxa"/>
            <w:vAlign w:val="center"/>
          </w:tcPr>
          <w:p>
            <w:pPr>
              <w:spacing w:line="360" w:lineRule="auto"/>
              <w:ind w:left="-4" w:leftChars="-2" w:firstLine="1" w:firstLineChars="1"/>
              <w:jc w:val="center"/>
              <w:rPr>
                <w:rFonts w:ascii="宋体" w:hAnsi="宋体" w:cs="宋体"/>
                <w:spacing w:val="-6"/>
                <w:szCs w:val="21"/>
              </w:rPr>
            </w:pPr>
            <w:r>
              <w:rPr>
                <w:rFonts w:hint="eastAsia" w:ascii="宋体" w:hAnsi="宋体" w:cs="宋体"/>
                <w:spacing w:val="-6"/>
                <w:szCs w:val="21"/>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ind w:left="-4" w:leftChars="-2" w:firstLine="2" w:firstLineChars="1"/>
              <w:rPr>
                <w:rFonts w:asciiTheme="minorEastAsia" w:hAnsiTheme="minorEastAsia" w:eastAsiaTheme="minorEastAsia" w:cstheme="minorEastAsia"/>
                <w:szCs w:val="21"/>
              </w:rPr>
            </w:pPr>
          </w:p>
        </w:tc>
        <w:tc>
          <w:tcPr>
            <w:tcW w:w="1376" w:type="dxa"/>
            <w:vAlign w:val="center"/>
          </w:tcPr>
          <w:p>
            <w:pPr>
              <w:jc w:val="center"/>
              <w:rPr>
                <w:rFonts w:ascii="宋体" w:hAnsi="宋体" w:cs="宋体"/>
                <w:spacing w:val="-6"/>
                <w:kern w:val="0"/>
                <w:szCs w:val="21"/>
              </w:rPr>
            </w:pPr>
            <w:r>
              <w:rPr>
                <w:rFonts w:hint="eastAsia" w:ascii="宋体" w:hAnsi="宋体" w:cs="宋体"/>
                <w:spacing w:val="-6"/>
                <w:kern w:val="0"/>
                <w:szCs w:val="21"/>
              </w:rPr>
              <w:t>人员服务</w:t>
            </w:r>
          </w:p>
          <w:p>
            <w:pPr>
              <w:jc w:val="center"/>
              <w:rPr>
                <w:rFonts w:ascii="宋体" w:hAnsi="宋体" w:cs="宋体"/>
                <w:spacing w:val="-6"/>
                <w:kern w:val="0"/>
                <w:szCs w:val="21"/>
              </w:rPr>
            </w:pPr>
            <w:r>
              <w:rPr>
                <w:rFonts w:hint="eastAsia" w:ascii="宋体" w:hAnsi="宋体" w:cs="宋体"/>
                <w:spacing w:val="-6"/>
                <w:kern w:val="0"/>
                <w:szCs w:val="21"/>
              </w:rPr>
              <w:t>方案</w:t>
            </w:r>
          </w:p>
        </w:tc>
        <w:tc>
          <w:tcPr>
            <w:tcW w:w="6512" w:type="dxa"/>
            <w:vAlign w:val="center"/>
          </w:tcPr>
          <w:p>
            <w:pPr>
              <w:widowControl/>
              <w:spacing w:line="360" w:lineRule="auto"/>
              <w:jc w:val="left"/>
              <w:textAlignment w:val="center"/>
              <w:rPr>
                <w:rFonts w:ascii="宋体" w:hAnsi="宋体" w:cs="宋体"/>
                <w:kern w:val="0"/>
                <w:szCs w:val="21"/>
              </w:rPr>
            </w:pPr>
            <w:r>
              <w:rPr>
                <w:rFonts w:hint="eastAsia" w:ascii="宋体" w:hAnsi="宋体" w:cs="宋体"/>
                <w:kern w:val="0"/>
                <w:szCs w:val="21"/>
              </w:rPr>
              <w:t>供应商根据本项目的特点和要求，制定搭配完善的项目团队，且职责分工明确，具有可行性；</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科学、合理，针对性强8分；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合理，可行，6分；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欠合理，基本可行，4 分；</w:t>
            </w:r>
          </w:p>
          <w:p>
            <w:pPr>
              <w:spacing w:line="360" w:lineRule="auto"/>
            </w:pPr>
            <w:r>
              <w:rPr>
                <w:rFonts w:hint="eastAsia" w:ascii="宋体" w:hAnsi="宋体" w:cs="宋体"/>
                <w:kern w:val="0"/>
                <w:szCs w:val="21"/>
              </w:rPr>
              <w:t>不可行，0 分。</w:t>
            </w:r>
          </w:p>
        </w:tc>
        <w:tc>
          <w:tcPr>
            <w:tcW w:w="664" w:type="dxa"/>
            <w:vAlign w:val="center"/>
          </w:tcPr>
          <w:p>
            <w:pPr>
              <w:autoSpaceDE w:val="0"/>
              <w:autoSpaceDN w:val="0"/>
              <w:adjustRightInd w:val="0"/>
              <w:rPr>
                <w:rFonts w:ascii="宋体" w:hAnsi="宋体" w:cs="宋体"/>
                <w:spacing w:val="-6"/>
                <w:kern w:val="0"/>
                <w:szCs w:val="21"/>
              </w:rPr>
            </w:pPr>
            <w:r>
              <w:rPr>
                <w:rFonts w:hint="eastAsia" w:ascii="宋体" w:hAnsi="宋体" w:cs="宋体"/>
                <w:spacing w:val="-6"/>
                <w:kern w:val="0"/>
                <w:szCs w:val="21"/>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vAlign w:val="center"/>
          </w:tcPr>
          <w:p>
            <w:pPr>
              <w:jc w:val="center"/>
              <w:rPr>
                <w:rFonts w:ascii="宋体" w:hAnsi="宋体" w:cs="宋体"/>
                <w:spacing w:val="-6"/>
                <w:szCs w:val="21"/>
              </w:rPr>
            </w:pPr>
            <w:r>
              <w:rPr>
                <w:rFonts w:hint="eastAsia" w:ascii="宋体" w:hAnsi="宋体" w:cs="宋体"/>
                <w:spacing w:val="-6"/>
                <w:szCs w:val="21"/>
              </w:rPr>
              <w:t>服务承诺</w:t>
            </w:r>
          </w:p>
        </w:tc>
        <w:tc>
          <w:tcPr>
            <w:tcW w:w="6512" w:type="dxa"/>
            <w:vAlign w:val="center"/>
          </w:tcPr>
          <w:p>
            <w:pPr>
              <w:spacing w:line="360" w:lineRule="auto"/>
              <w:rPr>
                <w:szCs w:val="21"/>
              </w:rPr>
            </w:pPr>
            <w:r>
              <w:rPr>
                <w:rFonts w:hint="eastAsia"/>
                <w:szCs w:val="21"/>
              </w:rPr>
              <w:t>根据本项目特点，提供明确的服务承诺和具体指标，并列出具体落实措施，</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科学、合理，针对性强，8分；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合理，可行，6分；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欠合理，基本可行，4分；</w:t>
            </w:r>
          </w:p>
          <w:p>
            <w:pPr>
              <w:spacing w:line="360" w:lineRule="auto"/>
            </w:pPr>
            <w:r>
              <w:rPr>
                <w:rFonts w:hint="eastAsia" w:ascii="宋体" w:hAnsi="宋体" w:cs="宋体"/>
                <w:kern w:val="0"/>
                <w:szCs w:val="21"/>
              </w:rPr>
              <w:t>不可行，0 分。</w:t>
            </w:r>
          </w:p>
        </w:tc>
        <w:tc>
          <w:tcPr>
            <w:tcW w:w="664" w:type="dxa"/>
            <w:vAlign w:val="center"/>
          </w:tcPr>
          <w:p>
            <w:pPr>
              <w:rPr>
                <w:rFonts w:ascii="宋体" w:hAnsi="宋体" w:cs="宋体"/>
                <w:spacing w:val="-6"/>
                <w:szCs w:val="21"/>
              </w:rPr>
            </w:pPr>
            <w:r>
              <w:rPr>
                <w:rFonts w:hint="eastAsia" w:ascii="宋体" w:hAnsi="宋体" w:cs="宋体"/>
                <w:spacing w:val="-6"/>
                <w:szCs w:val="21"/>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vAlign w:val="center"/>
          </w:tcPr>
          <w:p>
            <w:pPr>
              <w:jc w:val="center"/>
              <w:rPr>
                <w:rFonts w:ascii="宋体" w:hAnsi="宋体" w:cs="宋体"/>
                <w:spacing w:val="-6"/>
                <w:szCs w:val="21"/>
              </w:rPr>
            </w:pPr>
            <w:r>
              <w:rPr>
                <w:rFonts w:hint="eastAsia" w:ascii="宋体" w:hAnsi="宋体" w:cs="宋体"/>
                <w:spacing w:val="-6"/>
                <w:szCs w:val="21"/>
              </w:rPr>
              <w:t>内部管理制度</w:t>
            </w:r>
          </w:p>
        </w:tc>
        <w:tc>
          <w:tcPr>
            <w:tcW w:w="6512" w:type="dxa"/>
            <w:vAlign w:val="center"/>
          </w:tcPr>
          <w:p>
            <w:pPr>
              <w:spacing w:line="360" w:lineRule="auto"/>
              <w:rPr>
                <w:rFonts w:ascii="宋体" w:hAnsi="宋体" w:cs="宋体"/>
                <w:szCs w:val="21"/>
              </w:rPr>
            </w:pPr>
            <w:r>
              <w:rPr>
                <w:rFonts w:hint="eastAsia" w:ascii="宋体" w:hAnsi="宋体" w:cs="宋体"/>
                <w:szCs w:val="21"/>
              </w:rPr>
              <w:t>根据供应商提供服务人员管理体系和内部管理制度，</w:t>
            </w:r>
          </w:p>
          <w:p>
            <w:pPr>
              <w:spacing w:line="360" w:lineRule="auto"/>
              <w:rPr>
                <w:szCs w:val="21"/>
              </w:rPr>
            </w:pPr>
            <w:r>
              <w:rPr>
                <w:rFonts w:hint="eastAsia" w:ascii="宋体" w:hAnsi="宋体" w:cs="宋体"/>
                <w:szCs w:val="21"/>
              </w:rPr>
              <w:t>制度明确、完善，8分；</w:t>
            </w:r>
            <w:r>
              <w:rPr>
                <w:rFonts w:hint="eastAsia" w:ascii="宋体" w:hAnsi="宋体" w:cs="宋体"/>
                <w:szCs w:val="21"/>
              </w:rPr>
              <w:br w:type="textWrapping"/>
            </w:r>
            <w:r>
              <w:rPr>
                <w:rFonts w:hint="eastAsia" w:ascii="宋体" w:hAnsi="宋体" w:cs="宋体"/>
                <w:szCs w:val="21"/>
              </w:rPr>
              <w:t>制度较为明确，且较为完善，6分；</w:t>
            </w:r>
            <w:r>
              <w:rPr>
                <w:rFonts w:hint="eastAsia" w:ascii="宋体" w:hAnsi="宋体" w:cs="宋体"/>
                <w:szCs w:val="21"/>
              </w:rPr>
              <w:br w:type="textWrapping"/>
            </w:r>
            <w:r>
              <w:rPr>
                <w:rFonts w:hint="eastAsia" w:ascii="宋体" w:hAnsi="宋体" w:cs="宋体"/>
                <w:szCs w:val="21"/>
              </w:rPr>
              <w:t>制度不够明确、且不够完善，4分；</w:t>
            </w:r>
            <w:r>
              <w:rPr>
                <w:rFonts w:hint="eastAsia" w:ascii="宋体" w:hAnsi="宋体" w:cs="宋体"/>
                <w:szCs w:val="21"/>
              </w:rPr>
              <w:br w:type="textWrapping"/>
            </w:r>
            <w:r>
              <w:rPr>
                <w:rFonts w:hint="eastAsia" w:ascii="宋体" w:hAnsi="宋体" w:cs="宋体"/>
                <w:szCs w:val="21"/>
              </w:rPr>
              <w:t>制度不明确、不完善，0分。</w:t>
            </w:r>
          </w:p>
        </w:tc>
        <w:tc>
          <w:tcPr>
            <w:tcW w:w="664" w:type="dxa"/>
            <w:vAlign w:val="center"/>
          </w:tcPr>
          <w:p>
            <w:pPr>
              <w:rPr>
                <w:rFonts w:ascii="宋体" w:hAnsi="宋体" w:cs="宋体"/>
                <w:spacing w:val="-6"/>
                <w:szCs w:val="21"/>
              </w:rPr>
            </w:pPr>
            <w:r>
              <w:rPr>
                <w:rFonts w:hint="eastAsia" w:ascii="宋体" w:hAnsi="宋体" w:cs="宋体"/>
                <w:spacing w:val="-6"/>
                <w:szCs w:val="21"/>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vAlign w:val="center"/>
          </w:tcPr>
          <w:p>
            <w:pPr>
              <w:spacing w:line="360" w:lineRule="auto"/>
              <w:jc w:val="center"/>
              <w:rPr>
                <w:rFonts w:ascii="宋体" w:hAnsi="宋体" w:cs="宋体"/>
                <w:spacing w:val="-6"/>
                <w:szCs w:val="21"/>
              </w:rPr>
            </w:pPr>
            <w:r>
              <w:rPr>
                <w:rFonts w:hint="eastAsia" w:ascii="宋体" w:hAnsi="宋体" w:cs="宋体"/>
                <w:spacing w:val="-6"/>
                <w:szCs w:val="21"/>
              </w:rPr>
              <w:t>难点分析及对应的解决方法与措施</w:t>
            </w:r>
          </w:p>
        </w:tc>
        <w:tc>
          <w:tcPr>
            <w:tcW w:w="6512" w:type="dxa"/>
          </w:tcPr>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结合经验对本项目特点、工作重难点进行分析和阐述；同时提出难点及解决方法与措施；</w:t>
            </w:r>
            <w:r>
              <w:rPr>
                <w:rFonts w:hint="eastAsia" w:ascii="宋体" w:hAnsi="宋体" w:cs="宋体"/>
                <w:spacing w:val="-6"/>
                <w:szCs w:val="21"/>
              </w:rPr>
              <w:br w:type="textWrapping"/>
            </w:r>
            <w:r>
              <w:rPr>
                <w:rFonts w:hint="eastAsia" w:ascii="宋体" w:hAnsi="宋体" w:cs="宋体"/>
                <w:spacing w:val="-6"/>
                <w:szCs w:val="21"/>
              </w:rPr>
              <w:t>科学、合理，针对性强，7分；</w:t>
            </w:r>
          </w:p>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合理，可行，5分；</w:t>
            </w:r>
          </w:p>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欠合理，基本可行，3分；</w:t>
            </w:r>
          </w:p>
          <w:p>
            <w:pPr>
              <w:spacing w:line="360" w:lineRule="auto"/>
              <w:ind w:left="-4" w:leftChars="-2" w:firstLine="1" w:firstLineChars="1"/>
              <w:rPr>
                <w:rFonts w:ascii="宋体" w:hAnsi="宋体" w:cs="宋体"/>
                <w:spacing w:val="-6"/>
                <w:szCs w:val="21"/>
              </w:rPr>
            </w:pPr>
            <w:r>
              <w:rPr>
                <w:rFonts w:hint="eastAsia" w:ascii="宋体" w:hAnsi="宋体" w:cs="宋体"/>
                <w:spacing w:val="-6"/>
                <w:szCs w:val="21"/>
              </w:rPr>
              <w:t>不可行，0 分。</w:t>
            </w:r>
          </w:p>
        </w:tc>
        <w:tc>
          <w:tcPr>
            <w:tcW w:w="664" w:type="dxa"/>
            <w:vAlign w:val="center"/>
          </w:tcPr>
          <w:p>
            <w:pPr>
              <w:spacing w:line="360" w:lineRule="auto"/>
              <w:ind w:left="-4" w:leftChars="-2" w:firstLine="1" w:firstLineChars="1"/>
              <w:jc w:val="center"/>
              <w:rPr>
                <w:rFonts w:ascii="宋体" w:hAnsi="宋体" w:cs="宋体"/>
                <w:spacing w:val="-6"/>
                <w:szCs w:val="21"/>
              </w:rPr>
            </w:pPr>
            <w:r>
              <w:rPr>
                <w:rFonts w:hint="eastAsia" w:ascii="宋体" w:hAnsi="宋体" w:cs="宋体"/>
                <w:spacing w:val="-6"/>
                <w:szCs w:val="21"/>
              </w:rPr>
              <w:t>7分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Align w:val="center"/>
          </w:tcPr>
          <w:p>
            <w:pPr>
              <w:rPr>
                <w:rFonts w:asciiTheme="minorEastAsia" w:hAnsiTheme="minorEastAsia" w:eastAsiaTheme="minorEastAsia" w:cstheme="minorEastAsia"/>
                <w:szCs w:val="21"/>
              </w:rPr>
            </w:pPr>
          </w:p>
        </w:tc>
        <w:tc>
          <w:tcPr>
            <w:tcW w:w="1376" w:type="dxa"/>
            <w:vAlign w:val="center"/>
          </w:tcPr>
          <w:p>
            <w:pPr>
              <w:jc w:val="center"/>
              <w:rPr>
                <w:rFonts w:ascii="宋体" w:hAnsi="宋体" w:cs="宋体"/>
                <w:spacing w:val="-6"/>
                <w:szCs w:val="21"/>
              </w:rPr>
            </w:pPr>
            <w:r>
              <w:rPr>
                <w:rFonts w:hint="eastAsia" w:ascii="宋体" w:hAnsi="宋体" w:cs="宋体"/>
                <w:spacing w:val="-6"/>
                <w:szCs w:val="21"/>
              </w:rPr>
              <w:t>合理化建议</w:t>
            </w:r>
          </w:p>
        </w:tc>
        <w:tc>
          <w:tcPr>
            <w:tcW w:w="6512" w:type="dxa"/>
            <w:vAlign w:val="center"/>
          </w:tcPr>
          <w:p>
            <w:pPr>
              <w:widowControl/>
              <w:spacing w:line="360" w:lineRule="auto"/>
              <w:jc w:val="left"/>
              <w:textAlignment w:val="center"/>
              <w:rPr>
                <w:rFonts w:ascii="宋体" w:hAnsi="宋体" w:cs="宋体"/>
                <w:kern w:val="0"/>
                <w:szCs w:val="21"/>
              </w:rPr>
            </w:pPr>
            <w:r>
              <w:rPr>
                <w:rFonts w:hint="eastAsia" w:ascii="宋体" w:hAnsi="宋体" w:cs="宋体"/>
                <w:szCs w:val="21"/>
              </w:rPr>
              <w:t>根据供应商提供的针对于本项目的合理化建议进行评分，</w:t>
            </w:r>
            <w:r>
              <w:rPr>
                <w:rFonts w:hint="eastAsia" w:ascii="宋体" w:hAnsi="宋体" w:cs="宋体"/>
                <w:szCs w:val="21"/>
              </w:rPr>
              <w:br w:type="textWrapping"/>
            </w:r>
            <w:r>
              <w:rPr>
                <w:rFonts w:hint="eastAsia" w:ascii="宋体" w:hAnsi="宋体" w:cs="宋体"/>
                <w:kern w:val="0"/>
                <w:szCs w:val="21"/>
              </w:rPr>
              <w:t>科学、合理，针对性强3分；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合理，可行，2分；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欠合理，基本可行，1 分；</w:t>
            </w:r>
          </w:p>
          <w:p>
            <w:pPr>
              <w:spacing w:line="360" w:lineRule="auto"/>
              <w:rPr>
                <w:rFonts w:ascii="宋体" w:hAnsi="宋体" w:cs="宋体"/>
                <w:szCs w:val="21"/>
              </w:rPr>
            </w:pPr>
            <w:r>
              <w:rPr>
                <w:rFonts w:hint="eastAsia" w:ascii="宋体" w:hAnsi="宋体" w:cs="宋体"/>
                <w:kern w:val="0"/>
                <w:szCs w:val="21"/>
              </w:rPr>
              <w:t>不可行，0 分。</w:t>
            </w:r>
          </w:p>
        </w:tc>
        <w:tc>
          <w:tcPr>
            <w:tcW w:w="664" w:type="dxa"/>
            <w:vAlign w:val="center"/>
          </w:tcPr>
          <w:p>
            <w:pPr>
              <w:rPr>
                <w:rFonts w:ascii="宋体" w:hAnsi="宋体" w:cs="宋体"/>
                <w:spacing w:val="-6"/>
                <w:szCs w:val="21"/>
              </w:rPr>
            </w:pPr>
            <w:r>
              <w:rPr>
                <w:rFonts w:hint="eastAsia" w:ascii="宋体" w:hAnsi="宋体" w:cs="宋体"/>
                <w:spacing w:val="-6"/>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总分</w:t>
            </w:r>
          </w:p>
        </w:tc>
        <w:tc>
          <w:tcPr>
            <w:tcW w:w="8552" w:type="dxa"/>
            <w:gridSpan w:val="3"/>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100</w:t>
            </w:r>
          </w:p>
        </w:tc>
      </w:tr>
    </w:tbl>
    <w:p>
      <w:pPr>
        <w:spacing w:line="360" w:lineRule="auto"/>
        <w:outlineLvl w:val="1"/>
        <w:rPr>
          <w:rFonts w:asciiTheme="minorEastAsia" w:hAnsiTheme="minorEastAsia" w:eastAsiaTheme="minorEastAsia" w:cstheme="minorEastAsia"/>
          <w:b/>
          <w:szCs w:val="21"/>
        </w:rPr>
      </w:pPr>
      <w:bookmarkStart w:id="117" w:name="_Toc32238"/>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t>四、评定办法</w:t>
      </w:r>
      <w:bookmarkEnd w:id="117"/>
    </w:p>
    <w:p>
      <w:pPr>
        <w:numPr>
          <w:ilvl w:val="3"/>
          <w:numId w:val="37"/>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38"/>
        </w:numPr>
        <w:tabs>
          <w:tab w:val="left" w:pos="540"/>
          <w:tab w:val="clear" w:pos="36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资格性审查标准：见评定办法前附表。</w:t>
      </w:r>
    </w:p>
    <w:p>
      <w:pPr>
        <w:numPr>
          <w:ilvl w:val="1"/>
          <w:numId w:val="38"/>
        </w:numPr>
        <w:tabs>
          <w:tab w:val="left" w:pos="540"/>
          <w:tab w:val="clear" w:pos="36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符合性审查标准：见评定办法前附表。</w:t>
      </w:r>
    </w:p>
    <w:p>
      <w:pPr>
        <w:numPr>
          <w:ilvl w:val="1"/>
          <w:numId w:val="38"/>
        </w:numPr>
        <w:tabs>
          <w:tab w:val="left" w:pos="540"/>
          <w:tab w:val="clear" w:pos="36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确定磋商供应商进行最后报价：见评定方法前附表。</w:t>
      </w:r>
    </w:p>
    <w:p>
      <w:pPr>
        <w:numPr>
          <w:ilvl w:val="3"/>
          <w:numId w:val="37"/>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评定方法：见评定办法前附表。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2.2.1 分值构成</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（2）商务部分：见评标办法前附表； </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（3）竞标报价：见评标办法前附表。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2.2.2 评标基准价计算</w:t>
      </w:r>
    </w:p>
    <w:p>
      <w:pPr>
        <w:spacing w:line="360" w:lineRule="auto"/>
        <w:ind w:firstLine="840" w:firstLineChars="4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评标基准价计算方法：见评标办法前附表。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 评分标准</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（1）技术部分评分标准：见评标办法前附表；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（2）商务部分评分标准：见评标办法前附表；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（3）竞标报价评分标准：见评标办法前附表。</w:t>
      </w:r>
    </w:p>
    <w:p>
      <w:pPr>
        <w:numPr>
          <w:ilvl w:val="3"/>
          <w:numId w:val="37"/>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tabs>
          <w:tab w:val="left" w:pos="540"/>
        </w:tab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3.1磋商小组严格按照本章要求对最终报价进行评定。</w:t>
      </w:r>
    </w:p>
    <w:p>
      <w:pPr>
        <w:tabs>
          <w:tab w:val="left" w:pos="540"/>
        </w:tab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3.2完成评定后，</w:t>
      </w:r>
      <w:r>
        <w:rPr>
          <w:rFonts w:hint="eastAsia" w:asciiTheme="minorEastAsia" w:hAnsiTheme="minorEastAsia" w:eastAsiaTheme="minorEastAsia" w:cstheme="minorEastAsia"/>
          <w:snapToGrid w:val="0"/>
          <w:kern w:val="0"/>
          <w:szCs w:val="21"/>
          <w:lang w:val="zh-CN"/>
        </w:rPr>
        <w:t>磋商小组</w:t>
      </w:r>
      <w:r>
        <w:rPr>
          <w:rFonts w:hint="eastAsia" w:asciiTheme="minorEastAsia" w:hAnsiTheme="minorEastAsia" w:eastAsiaTheme="minorEastAsia" w:cstheme="minorEastAsia"/>
          <w:szCs w:val="21"/>
        </w:rPr>
        <w:t>须在评审结果推荐意见上共同签字。</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37"/>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spacing w:line="360" w:lineRule="auto"/>
        <w:ind w:firstLine="420"/>
        <w:jc w:val="left"/>
        <w:rPr>
          <w:rFonts w:asciiTheme="minorEastAsia" w:hAnsiTheme="minorEastAsia" w:eastAsiaTheme="minorEastAsia" w:cstheme="minorEastAsia"/>
        </w:rPr>
      </w:pPr>
      <w:r>
        <w:rPr>
          <w:rFonts w:hint="eastAsia" w:asciiTheme="minorEastAsia" w:hAnsiTheme="minorEastAsia" w:eastAsiaTheme="minorEastAsia" w:cstheme="minorEastAsia"/>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
    <w:p/>
    <w:p/>
    <w:p>
      <w:pPr>
        <w:spacing w:line="360" w:lineRule="auto"/>
        <w:outlineLvl w:val="1"/>
        <w:rPr>
          <w:rFonts w:asciiTheme="minorEastAsia" w:hAnsiTheme="minorEastAsia" w:eastAsiaTheme="minorEastAsia" w:cstheme="minorEastAsia"/>
          <w:b/>
          <w:szCs w:val="21"/>
        </w:rPr>
      </w:pPr>
      <w:bookmarkStart w:id="118" w:name="_Toc18427"/>
      <w:r>
        <w:rPr>
          <w:rFonts w:hint="eastAsia" w:asciiTheme="minorEastAsia" w:hAnsiTheme="minorEastAsia" w:eastAsiaTheme="minorEastAsia" w:cstheme="minorEastAsia"/>
          <w:b/>
          <w:szCs w:val="21"/>
        </w:rPr>
        <w:t>五、磋商及评审步骤</w:t>
      </w:r>
      <w:bookmarkEnd w:id="118"/>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1.验证委托代理人身份、响应文件密封检查</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主持人按以下程序进行：</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①宣布会场纪律。</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②公布在响应文件递交截止时间前递交响应文件的供应商名称，并点名确认供应商的委托代理人是否到场（验证委托代理人身份证原件）。</w:t>
      </w:r>
    </w:p>
    <w:p>
      <w:pPr>
        <w:spacing w:line="360" w:lineRule="auto"/>
        <w:ind w:firstLine="420" w:firstLineChars="200"/>
        <w:rPr>
          <w:rFonts w:asciiTheme="minorEastAsia" w:hAnsiTheme="minorEastAsia" w:eastAsiaTheme="minorEastAsia" w:cstheme="minorEastAsia"/>
          <w:b/>
          <w:szCs w:val="28"/>
        </w:rPr>
      </w:pPr>
      <w:r>
        <w:rPr>
          <w:rFonts w:hint="eastAsia" w:asciiTheme="minorEastAsia" w:hAnsiTheme="minorEastAsia" w:eastAsiaTheme="minorEastAsia" w:cstheme="minorEastAsia"/>
          <w:szCs w:val="28"/>
        </w:rPr>
        <w:t>③检查响应文件密封情况。</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2.资格和符合性审查</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2.1磋商小组审查每份响应文件是否实质上响应了采购文件的要求。磋商小组决定其是否响应只根据响应文件本身的内容，而不依据外部的证据，但响应文件有不真实不正确的内容时除外。</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2.3只有通过了资格和符合性审查的供应商才能进入详细评审阶段。</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3.供应商的澄清</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4.磋商及最后报价</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4.1磋商小组所有成员应当集中与单一供应商分别进行磋商，并按照磋商会随机抽签的顺序给予所有参加磋商的供应商平等的磋商机会。</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4.2</w:t>
      </w:r>
      <w:r>
        <w:rPr>
          <w:rFonts w:hint="eastAsia" w:asciiTheme="minorEastAsia" w:hAnsiTheme="minorEastAsia" w:eastAsiaTheme="minorEastAsia" w:cstheme="minorEastAsia"/>
          <w:b/>
          <w:szCs w:val="28"/>
        </w:rPr>
        <w:t>在磋商过程中，若磋商小组无法联系上供应商代表或者供应商代表在接到磋商小组通知后15分钟内不能抵达磋商会现场的，视为该供应商自动退出磋商。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4.3</w:t>
      </w:r>
      <w:r>
        <w:rPr>
          <w:rFonts w:hint="eastAsia" w:asciiTheme="minorEastAsia" w:hAnsiTheme="minorEastAsia" w:eastAsiaTheme="minorEastAsia" w:cstheme="minorEastAsia"/>
          <w:b/>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spacing w:line="360" w:lineRule="auto"/>
        <w:ind w:firstLine="420" w:firstLineChars="200"/>
        <w:rPr>
          <w:rFonts w:asciiTheme="minorEastAsia" w:hAnsiTheme="minorEastAsia" w:eastAsiaTheme="minorEastAsia" w:cstheme="minorEastAsia"/>
          <w:bCs/>
          <w:szCs w:val="28"/>
        </w:rPr>
      </w:pPr>
      <w:r>
        <w:rPr>
          <w:rFonts w:hint="eastAsia" w:asciiTheme="minorEastAsia" w:hAnsiTheme="minorEastAsia" w:eastAsiaTheme="minorEastAsia" w:cstheme="minorEastAsia"/>
          <w:szCs w:val="28"/>
        </w:rPr>
        <w:t>4.5磋商结束后，磋商小组将要求所有实质性响应的供应商在规定时间内提交最后报价，最后报价是供应商响应文件的有效组成部分。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szCs w:val="28"/>
        </w:rPr>
        <w:t>4.6</w:t>
      </w:r>
      <w:r>
        <w:rPr>
          <w:rFonts w:hint="eastAsia" w:asciiTheme="minorEastAsia" w:hAnsiTheme="minorEastAsia" w:eastAsiaTheme="minorEastAsia" w:cstheme="minorEastAsia"/>
          <w:szCs w:val="28"/>
        </w:rPr>
        <w:t>已提交响应文件的供应商，在提交最后报价之前，可以根据磋商情况退出磋商。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4.7符合下列情形，在采购过程中符合要求的供应商可以为2家：</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（1）政府购买服务项目（含政府和社会资本合作项目）；</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（2）市场竞争不充分的科研项目，以及需要扶持的科技成果转化项目。</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5.详细评审</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5.1经磋商确定最终采购需求和提交最后报价的供应商后，由磋商小组采用综合评分法对提交最后报价的供应商的响应文件和最后报价进行综合评分。具体详见“评分细则”。</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5.2评审时，磋商小组各成员应当独立对每个有效响应的文件进行评价、打分，然后汇总每个供应商每项评分因素的得分。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5.3采购代理机构负责对各磋商小组成员的总分进行复核和汇总。各项统计结果均精确到小数点后两位。 </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5.5在评审期间，供应商不得干扰和阻碍评审工作，供应商不得向磋商小组询问评审情况，任何影响和干扰评审工作的行为都可能导致被取消本次评审的资格，并承担相应的法律责任。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8"/>
        </w:rPr>
        <w:t>5.6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pStyle w:val="3"/>
        <w:numPr>
          <w:ilvl w:val="0"/>
          <w:numId w:val="4"/>
        </w:numPr>
        <w:spacing w:line="240" w:lineRule="auto"/>
        <w:jc w:val="center"/>
        <w:rPr>
          <w:rFonts w:asciiTheme="minorEastAsia" w:hAnsiTheme="minorEastAsia" w:eastAsiaTheme="minorEastAsia" w:cstheme="minorEastAsia"/>
          <w:b w:val="0"/>
          <w:kern w:val="0"/>
          <w:szCs w:val="21"/>
        </w:rPr>
      </w:pPr>
      <w:bookmarkStart w:id="119" w:name="_Toc211783328"/>
      <w:bookmarkStart w:id="120" w:name="_Toc318643471"/>
      <w:bookmarkStart w:id="121" w:name="_Toc31909"/>
      <w:r>
        <w:rPr>
          <w:rFonts w:hint="eastAsia" w:asciiTheme="minorEastAsia" w:hAnsiTheme="minorEastAsia" w:eastAsiaTheme="minorEastAsia" w:cstheme="minorEastAsia"/>
          <w:sz w:val="36"/>
          <w:szCs w:val="36"/>
        </w:rPr>
        <w:t>合同书</w:t>
      </w:r>
      <w:bookmarkEnd w:id="119"/>
      <w:bookmarkEnd w:id="120"/>
      <w:r>
        <w:rPr>
          <w:rFonts w:hint="eastAsia" w:asciiTheme="minorEastAsia" w:hAnsiTheme="minorEastAsia" w:eastAsiaTheme="minorEastAsia" w:cstheme="minorEastAsia"/>
          <w:sz w:val="36"/>
          <w:szCs w:val="36"/>
        </w:rPr>
        <w:t>格式</w:t>
      </w:r>
      <w:bookmarkEnd w:id="121"/>
    </w:p>
    <w:p>
      <w:pPr>
        <w:ind w:firstLine="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bCs/>
          <w:szCs w:val="21"/>
        </w:rPr>
        <w:t>（此合同书仅供签订正式合同时参考用）</w:t>
      </w:r>
    </w:p>
    <w:p>
      <w:pPr>
        <w:autoSpaceDE w:val="0"/>
        <w:autoSpaceDN w:val="0"/>
        <w:adjustRightInd w:val="0"/>
        <w:spacing w:line="360" w:lineRule="auto"/>
        <w:jc w:val="center"/>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合　　同　　协    议   书</w:t>
      </w:r>
    </w:p>
    <w:p>
      <w:pPr>
        <w:autoSpaceDE w:val="0"/>
        <w:autoSpaceDN w:val="0"/>
        <w:adjustRightIn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p>
      <w:pPr>
        <w:autoSpaceDE w:val="0"/>
        <w:autoSpaceDN w:val="0"/>
        <w:adjustRightIn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合同编号：</w:t>
      </w:r>
    </w:p>
    <w:p>
      <w:pPr>
        <w:autoSpaceDE w:val="0"/>
        <w:autoSpaceDN w:val="0"/>
        <w:adjustRightIn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签订日期：</w:t>
      </w:r>
    </w:p>
    <w:p>
      <w:pPr>
        <w:autoSpaceDE w:val="0"/>
        <w:autoSpaceDN w:val="0"/>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签订合同地点：</w:t>
      </w:r>
    </w:p>
    <w:p>
      <w:pPr>
        <w:pStyle w:val="21"/>
        <w:ind w:firstLine="41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rPr>
        <w:t>本合同由</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（以下简称“需方”）与</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（以下简称“供方”）签订。供方以总金额</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万元人民币（用大写数字书写）向需方提供如下 （工程/货物/服务）：</w:t>
      </w:r>
    </w:p>
    <w:p>
      <w:pPr>
        <w:autoSpaceDE w:val="0"/>
        <w:autoSpaceDN w:val="0"/>
        <w:adjustRightInd w:val="0"/>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经双方协商，同意按下列条文执行：</w:t>
      </w:r>
    </w:p>
    <w:p>
      <w:pPr>
        <w:autoSpaceDE w:val="0"/>
        <w:autoSpaceDN w:val="0"/>
        <w:adjustRightInd w:val="0"/>
        <w:spacing w:line="360" w:lineRule="auto"/>
        <w:ind w:left="210" w:hanging="210" w:hangingChars="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1.本合同供、需双方必须遵守国家颁布的“合同法”，并各自履行应负的全部责任和义务。</w:t>
      </w:r>
    </w:p>
    <w:p>
      <w:pPr>
        <w:autoSpaceDE w:val="0"/>
        <w:autoSpaceDN w:val="0"/>
        <w:adjustRightInd w:val="0"/>
        <w:spacing w:line="360" w:lineRule="auto"/>
        <w:ind w:left="210" w:hanging="210" w:hangingChars="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2.需方保证按合同条款规定的时间和方式付给供方到期应付的货款，并承担应负的责任和义务。</w:t>
      </w:r>
    </w:p>
    <w:p>
      <w:pPr>
        <w:autoSpaceDE w:val="0"/>
        <w:autoSpaceDN w:val="0"/>
        <w:adjustRightInd w:val="0"/>
        <w:spacing w:line="360" w:lineRule="auto"/>
        <w:ind w:left="210" w:hanging="210" w:hangingChars="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3.供方保证全部按合同条款规定的内容和交货期向需方提供合格的</w:t>
      </w:r>
      <w:r>
        <w:rPr>
          <w:rFonts w:hint="eastAsia" w:asciiTheme="minorEastAsia" w:hAnsiTheme="minorEastAsia" w:eastAsiaTheme="minorEastAsia" w:cstheme="minorEastAsia"/>
          <w:kern w:val="0"/>
          <w:szCs w:val="21"/>
          <w:u w:val="single"/>
        </w:rPr>
        <w:t>（工程/货物/服务）</w:t>
      </w:r>
      <w:r>
        <w:rPr>
          <w:rFonts w:hint="eastAsia" w:asciiTheme="minorEastAsia" w:hAnsiTheme="minorEastAsia" w:eastAsiaTheme="minorEastAsia" w:cstheme="minorEastAsia"/>
          <w:kern w:val="0"/>
          <w:szCs w:val="21"/>
        </w:rPr>
        <w:t>，并承担应负的责任和义务。</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合同文件</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下列文件为本合同不可分割的部分。</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本竞争性磋商采购文件；</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供方成交的竞争性磋商响应文件；</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合同协议书；</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合同条款；</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u w:val="single"/>
        </w:rPr>
        <w:t xml:space="preserve">  （政府采购代理机构）  </w:t>
      </w:r>
      <w:r>
        <w:rPr>
          <w:rFonts w:hint="eastAsia" w:asciiTheme="minorEastAsia" w:hAnsiTheme="minorEastAsia" w:eastAsiaTheme="minorEastAsia" w:cstheme="minorEastAsia"/>
          <w:kern w:val="0"/>
          <w:szCs w:val="21"/>
        </w:rPr>
        <w:t>发出的成交通知书；</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附件：</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4.6.1 采购方在采购期间发布的所有补充通知；</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4.6.2 供方在磋商期内补充的所有书面文件；</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4.6.3 供方在磋商时随同竞争性磋商响应文件一起递送的资料及附图；</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4.6.4 在商洽本合同时，双方澄清、确认并共同签字的补充文件、技术协议。</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合同范围和条件</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本合同的范围和条件应与上述规定的合同文件内容相一致。</w:t>
      </w:r>
    </w:p>
    <w:p>
      <w:pPr>
        <w:autoSpaceDE w:val="0"/>
        <w:autoSpaceDN w:val="0"/>
        <w:adjustRightInd w:val="0"/>
        <w:spacing w:before="156"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货物及数量</w:t>
      </w:r>
    </w:p>
    <w:p>
      <w:pPr>
        <w:pStyle w:val="21"/>
        <w:spacing w:line="360" w:lineRule="auto"/>
        <w:ind w:left="0" w:leftChars="0"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本合同所提供的</w:t>
      </w:r>
      <w:r>
        <w:rPr>
          <w:rFonts w:hint="eastAsia" w:asciiTheme="minorEastAsia" w:hAnsiTheme="minorEastAsia" w:eastAsiaTheme="minorEastAsia" w:cstheme="minorEastAsia"/>
          <w:kern w:val="0"/>
          <w:sz w:val="21"/>
          <w:szCs w:val="21"/>
          <w:u w:val="single"/>
        </w:rPr>
        <w:t xml:space="preserve">  （工程/货物/服务）  </w:t>
      </w:r>
      <w:r>
        <w:rPr>
          <w:rFonts w:hint="eastAsia" w:asciiTheme="minorEastAsia" w:hAnsiTheme="minorEastAsia" w:eastAsiaTheme="minorEastAsia" w:cstheme="minorEastAsia"/>
          <w:kern w:val="0"/>
          <w:sz w:val="21"/>
          <w:szCs w:val="21"/>
        </w:rPr>
        <w:t>及数量详见竞争性磋商采购文件的要求及供方竞争性磋商响应文件中的承诺。</w:t>
      </w:r>
    </w:p>
    <w:p>
      <w:pPr>
        <w:autoSpaceDE w:val="0"/>
        <w:autoSpaceDN w:val="0"/>
        <w:adjustRightInd w:val="0"/>
        <w:spacing w:before="156"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付款条件</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本合同的付款条件在竞争性磋商采购文件中有明确规定。</w:t>
      </w:r>
    </w:p>
    <w:p>
      <w:pPr>
        <w:autoSpaceDE w:val="0"/>
        <w:autoSpaceDN w:val="0"/>
        <w:adjustRightInd w:val="0"/>
        <w:spacing w:before="156"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合同金额</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合同总金额见合同书，分项价格在供方的竞争性磋商响应文件中有明确规定。</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9.</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交货时间和交货地点</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本合同中</w:t>
      </w:r>
      <w:r>
        <w:rPr>
          <w:rFonts w:hint="eastAsia" w:asciiTheme="minorEastAsia" w:hAnsiTheme="minorEastAsia" w:eastAsiaTheme="minorEastAsia" w:cstheme="minorEastAsia"/>
          <w:kern w:val="0"/>
          <w:szCs w:val="21"/>
          <w:u w:val="single"/>
        </w:rPr>
        <w:t xml:space="preserve"> （工程/货物/服务） </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kern w:val="0"/>
          <w:szCs w:val="21"/>
          <w:u w:val="single"/>
        </w:rPr>
        <w:t xml:space="preserve"> (交货时间/服务完成时间）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(交货地点/服务地点） </w:t>
      </w:r>
      <w:r>
        <w:rPr>
          <w:rFonts w:hint="eastAsia" w:asciiTheme="minorEastAsia" w:hAnsiTheme="minorEastAsia" w:eastAsiaTheme="minorEastAsia" w:cstheme="minorEastAsia"/>
          <w:kern w:val="0"/>
          <w:szCs w:val="21"/>
        </w:rPr>
        <w:t>在竞争性磋商采购文件中有明确规定。</w:t>
      </w:r>
    </w:p>
    <w:p>
      <w:pPr>
        <w:autoSpaceDE w:val="0"/>
        <w:autoSpaceDN w:val="0"/>
        <w:adjustRightInd w:val="0"/>
        <w:spacing w:before="156"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10.</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合同生效</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本合同经供、需双方授权代表签字和加盖公章（或合同专用章）后生效。如采购申请公证的，合同需经公证机构公证后生效。</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11.</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合同的份数</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本合同正本一式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份；副本一式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份，主管部门执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12.</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合同的失效</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本合同在合同价款结清后失效。</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需　　方</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　　方</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单位名称（盖章）：</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单位名称（盖章）：</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单位地址：</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单位地址：</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法人代表授权人(签字)：</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法人代表授权人(签字)：</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 系 人：</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联 系 人：</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电　　话：</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传　　真：</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邮政编码：</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邮政编码：</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开户银行：</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帐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帐　　号：</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税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税　　号：</w:t>
      </w:r>
    </w:p>
    <w:p>
      <w:pPr>
        <w:spacing w:line="360" w:lineRule="auto"/>
      </w:pPr>
      <w:r>
        <w:rPr>
          <w:rFonts w:hint="eastAsia" w:asciiTheme="minorEastAsia" w:hAnsiTheme="minorEastAsia" w:eastAsiaTheme="minorEastAsia" w:cstheme="minorEastAsia"/>
          <w:szCs w:val="21"/>
        </w:rPr>
        <w:t>合同签订地址：</w:t>
      </w:r>
    </w:p>
    <w:p>
      <w:pPr>
        <w:pStyle w:val="3"/>
        <w:numPr>
          <w:ilvl w:val="0"/>
          <w:numId w:val="4"/>
        </w:numPr>
        <w:jc w:val="center"/>
        <w:rPr>
          <w:rFonts w:asciiTheme="minorEastAsia" w:hAnsiTheme="minorEastAsia" w:eastAsiaTheme="minorEastAsia" w:cstheme="minorEastAsia"/>
          <w:sz w:val="36"/>
          <w:szCs w:val="36"/>
        </w:rPr>
      </w:pPr>
      <w:bookmarkStart w:id="122" w:name="_Toc9448"/>
      <w:r>
        <w:rPr>
          <w:rFonts w:hint="eastAsia" w:asciiTheme="minorEastAsia" w:hAnsiTheme="minorEastAsia" w:eastAsiaTheme="minorEastAsia" w:cstheme="minorEastAsia"/>
          <w:sz w:val="36"/>
          <w:szCs w:val="36"/>
        </w:rPr>
        <w:t>竞争性磋商响应文件格式</w:t>
      </w:r>
      <w:bookmarkEnd w:id="122"/>
    </w:p>
    <w:p>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asciiTheme="minorEastAsia" w:hAnsiTheme="minorEastAsia" w:eastAsiaTheme="minorEastAsia" w:cstheme="minorEastAsia"/>
        </w:rPr>
      </w:pPr>
    </w:p>
    <w:p>
      <w:pPr>
        <w:autoSpaceDE w:val="0"/>
        <w:autoSpaceDN w:val="0"/>
        <w:adjustRightInd w:val="0"/>
        <w:rPr>
          <w:rFonts w:asciiTheme="minorEastAsia" w:hAnsiTheme="minorEastAsia" w:eastAsiaTheme="minorEastAsia" w:cstheme="minorEastAsia"/>
        </w:rPr>
      </w:pPr>
    </w:p>
    <w:p>
      <w:pPr>
        <w:autoSpaceDE w:val="0"/>
        <w:autoSpaceDN w:val="0"/>
        <w:adjustRightIn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autoSpaceDE w:val="0"/>
        <w:autoSpaceDN w:val="0"/>
        <w:adjustRightInd w:val="0"/>
        <w:jc w:val="center"/>
        <w:rPr>
          <w:rFonts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ind w:firstLine="1190" w:firstLineChars="395"/>
        <w:rPr>
          <w:rFonts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项目编号：</w:t>
      </w:r>
      <w:r>
        <w:rPr>
          <w:rFonts w:hint="eastAsia" w:asciiTheme="minorEastAsia" w:hAnsiTheme="minorEastAsia" w:eastAsiaTheme="minorEastAsia" w:cstheme="minorEastAsia"/>
          <w:b/>
          <w:bCs/>
          <w:sz w:val="30"/>
          <w:szCs w:val="30"/>
          <w:u w:val="single"/>
        </w:rPr>
        <w:t xml:space="preserve">                            </w:t>
      </w:r>
    </w:p>
    <w:p>
      <w:pPr>
        <w:tabs>
          <w:tab w:val="left" w:pos="7230"/>
        </w:tabs>
        <w:ind w:firstLine="1190" w:firstLineChars="395"/>
        <w:rPr>
          <w:rFonts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ind w:firstLine="1190" w:firstLineChars="395"/>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spacing w:line="360" w:lineRule="auto"/>
        <w:ind w:firstLine="1260" w:firstLineChars="450"/>
        <w:rPr>
          <w:rFonts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rPr>
        <w:t>磋商供应商名称（盖章）：</w:t>
      </w:r>
      <w:r>
        <w:rPr>
          <w:rFonts w:hint="eastAsia" w:asciiTheme="minorEastAsia" w:hAnsiTheme="minorEastAsia" w:eastAsiaTheme="minorEastAsia" w:cstheme="minorEastAsia"/>
          <w:b/>
          <w:bCs/>
          <w:sz w:val="32"/>
          <w:u w:val="single"/>
        </w:rPr>
        <w:t xml:space="preserve">                       </w:t>
      </w:r>
      <w:bookmarkStart w:id="123" w:name="_Toc5751"/>
      <w:bookmarkStart w:id="124" w:name="_Toc23858"/>
    </w:p>
    <w:p>
      <w:pPr>
        <w:autoSpaceDE w:val="0"/>
        <w:autoSpaceDN w:val="0"/>
        <w:adjustRightInd w:val="0"/>
        <w:spacing w:line="360" w:lineRule="auto"/>
        <w:ind w:firstLine="1260" w:firstLineChars="4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bookmarkEnd w:id="123"/>
    <w:bookmarkEnd w:id="124"/>
    <w:p>
      <w:pPr>
        <w:autoSpaceDE w:val="0"/>
        <w:autoSpaceDN w:val="0"/>
        <w:adjustRightInd w:val="0"/>
        <w:spacing w:line="360" w:lineRule="auto"/>
        <w:jc w:val="center"/>
        <w:rPr>
          <w:rFonts w:asciiTheme="minorEastAsia" w:hAnsiTheme="minorEastAsia" w:eastAsiaTheme="minorEastAsia" w:cstheme="minorEastAsia"/>
          <w:b/>
          <w:bCs/>
          <w:sz w:val="24"/>
        </w:rPr>
      </w:pPr>
      <w:bookmarkStart w:id="125" w:name="_Toc360174584"/>
      <w:bookmarkStart w:id="126" w:name="_Toc264644272"/>
      <w:bookmarkStart w:id="127" w:name="_Toc533331084"/>
      <w:bookmarkStart w:id="128" w:name="_Toc533330957"/>
      <w:bookmarkStart w:id="129" w:name="_Toc211783342"/>
      <w:bookmarkStart w:id="130" w:name="_Toc11320441"/>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响应文件目录</w:t>
      </w:r>
      <w:bookmarkEnd w:id="125"/>
      <w:bookmarkEnd w:id="126"/>
    </w:p>
    <w:p>
      <w:pPr>
        <w:autoSpaceDE w:val="0"/>
        <w:autoSpaceDN w:val="0"/>
        <w:adjustRightInd w:val="0"/>
        <w:rPr>
          <w:rFonts w:asciiTheme="minorEastAsia" w:hAnsiTheme="minorEastAsia" w:eastAsiaTheme="minorEastAsia" w:cstheme="minorEastAsia"/>
          <w:b/>
          <w:bCs/>
          <w:szCs w:val="21"/>
        </w:rPr>
      </w:pPr>
    </w:p>
    <w:p>
      <w:pPr>
        <w:autoSpaceDE w:val="0"/>
        <w:autoSpaceDN w:val="0"/>
        <w:adjustRightInd w:val="0"/>
        <w:spacing w:line="360" w:lineRule="auto"/>
        <w:rPr>
          <w:rFonts w:ascii="宋体" w:hAnsi="宋体" w:cs="宋体"/>
          <w:b/>
          <w:szCs w:val="21"/>
        </w:rPr>
      </w:pPr>
      <w:r>
        <w:rPr>
          <w:rFonts w:hint="eastAsia" w:ascii="宋体" w:hAnsi="宋体" w:cs="宋体"/>
          <w:b/>
          <w:szCs w:val="21"/>
        </w:rPr>
        <w:t>注：投标文件目录及内容每页须顺序编写页码。</w:t>
      </w:r>
    </w:p>
    <w:p>
      <w:pPr>
        <w:autoSpaceDE w:val="0"/>
        <w:autoSpaceDN w:val="0"/>
        <w:adjustRightInd w:val="0"/>
        <w:spacing w:line="360" w:lineRule="auto"/>
        <w:jc w:val="center"/>
        <w:outlineLvl w:val="1"/>
        <w:rPr>
          <w:rFonts w:ascii="宋体" w:hAnsi="宋体" w:cs="宋体"/>
          <w:b/>
          <w:szCs w:val="21"/>
        </w:rPr>
      </w:pPr>
      <w:bookmarkStart w:id="131" w:name="_Toc7502"/>
      <w:r>
        <w:rPr>
          <w:rFonts w:hint="eastAsia" w:ascii="宋体" w:hAnsi="宋体" w:cs="宋体"/>
          <w:b/>
          <w:szCs w:val="21"/>
        </w:rPr>
        <w:br w:type="textWrapping"/>
      </w:r>
      <w:r>
        <w:rPr>
          <w:rFonts w:hint="eastAsia" w:ascii="宋体" w:hAnsi="宋体" w:cs="宋体"/>
          <w:b/>
          <w:szCs w:val="21"/>
        </w:rPr>
        <w:t>一、评分标准索引表</w:t>
      </w:r>
      <w:bookmarkEnd w:id="131"/>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358"/>
        <w:gridCol w:w="825"/>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vAlign w:val="center"/>
          </w:tcPr>
          <w:p>
            <w:pPr>
              <w:spacing w:line="360" w:lineRule="auto"/>
              <w:jc w:val="center"/>
              <w:rPr>
                <w:rFonts w:ascii="宋体" w:hAnsi="宋体" w:cs="宋体"/>
                <w:b/>
                <w:bCs/>
                <w:spacing w:val="-6"/>
                <w:szCs w:val="21"/>
              </w:rPr>
            </w:pPr>
            <w:r>
              <w:rPr>
                <w:rFonts w:hint="eastAsia" w:ascii="宋体" w:hAnsi="宋体" w:cs="宋体"/>
                <w:b/>
                <w:bCs/>
                <w:szCs w:val="21"/>
              </w:rPr>
              <w:t>类别</w:t>
            </w:r>
          </w:p>
        </w:tc>
        <w:tc>
          <w:tcPr>
            <w:tcW w:w="1285" w:type="dxa"/>
            <w:tcBorders>
              <w:top w:val="single" w:color="auto" w:sz="12" w:space="0"/>
            </w:tcBorders>
            <w:vAlign w:val="center"/>
          </w:tcPr>
          <w:p>
            <w:pPr>
              <w:spacing w:line="360" w:lineRule="auto"/>
              <w:jc w:val="center"/>
              <w:rPr>
                <w:rFonts w:ascii="宋体" w:hAnsi="宋体" w:cs="宋体"/>
                <w:b/>
                <w:bCs/>
                <w:spacing w:val="-6"/>
                <w:szCs w:val="21"/>
              </w:rPr>
            </w:pPr>
            <w:r>
              <w:rPr>
                <w:rFonts w:hint="eastAsia" w:ascii="宋体" w:hAnsi="宋体" w:cs="宋体"/>
                <w:b/>
                <w:bCs/>
                <w:szCs w:val="21"/>
              </w:rPr>
              <w:t>评审因素</w:t>
            </w:r>
          </w:p>
        </w:tc>
        <w:tc>
          <w:tcPr>
            <w:tcW w:w="5358" w:type="dxa"/>
            <w:tcBorders>
              <w:top w:val="single" w:color="auto" w:sz="12" w:space="0"/>
            </w:tcBorders>
            <w:vAlign w:val="center"/>
          </w:tcPr>
          <w:p>
            <w:pPr>
              <w:spacing w:line="360" w:lineRule="auto"/>
              <w:jc w:val="center"/>
              <w:rPr>
                <w:rFonts w:ascii="宋体" w:hAnsi="宋体" w:cs="宋体"/>
                <w:b/>
                <w:bCs/>
                <w:spacing w:val="-6"/>
                <w:szCs w:val="21"/>
              </w:rPr>
            </w:pPr>
            <w:r>
              <w:rPr>
                <w:rFonts w:hint="eastAsia" w:ascii="宋体" w:hAnsi="宋体" w:cs="宋体"/>
                <w:b/>
                <w:bCs/>
                <w:szCs w:val="21"/>
              </w:rPr>
              <w:t>评审标准</w:t>
            </w:r>
          </w:p>
        </w:tc>
        <w:tc>
          <w:tcPr>
            <w:tcW w:w="825" w:type="dxa"/>
            <w:tcBorders>
              <w:top w:val="single" w:color="auto" w:sz="12" w:space="0"/>
            </w:tcBorders>
            <w:vAlign w:val="center"/>
          </w:tcPr>
          <w:p>
            <w:pPr>
              <w:spacing w:line="360" w:lineRule="auto"/>
              <w:jc w:val="center"/>
              <w:rPr>
                <w:rFonts w:ascii="宋体" w:hAnsi="宋体" w:cs="宋体"/>
                <w:b/>
                <w:bCs/>
                <w:szCs w:val="21"/>
              </w:rPr>
            </w:pPr>
            <w:r>
              <w:rPr>
                <w:rFonts w:hint="eastAsia" w:ascii="宋体" w:hAnsi="宋体" w:cs="宋体"/>
                <w:b/>
                <w:bCs/>
                <w:szCs w:val="21"/>
              </w:rPr>
              <w:t>分值</w:t>
            </w:r>
          </w:p>
        </w:tc>
        <w:tc>
          <w:tcPr>
            <w:tcW w:w="1133" w:type="dxa"/>
            <w:tcBorders>
              <w:top w:val="single" w:color="auto" w:sz="12" w:space="0"/>
            </w:tcBorders>
            <w:vAlign w:val="center"/>
          </w:tcPr>
          <w:p>
            <w:pPr>
              <w:spacing w:line="360" w:lineRule="auto"/>
              <w:jc w:val="center"/>
              <w:rPr>
                <w:rFonts w:ascii="宋体" w:hAnsi="宋体" w:cs="宋体"/>
                <w:b/>
                <w:bCs/>
                <w:szCs w:val="21"/>
              </w:rPr>
            </w:pPr>
            <w:r>
              <w:rPr>
                <w:rFonts w:hint="eastAsia" w:ascii="宋体" w:hAnsi="宋体" w:cs="宋体"/>
                <w:b/>
                <w:bCs/>
                <w:szCs w:val="21"/>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vAlign w:val="center"/>
          </w:tcPr>
          <w:p>
            <w:pPr>
              <w:widowControl/>
              <w:spacing w:line="360" w:lineRule="auto"/>
              <w:jc w:val="center"/>
              <w:textAlignment w:val="center"/>
              <w:rPr>
                <w:rFonts w:ascii="宋体" w:hAnsi="宋体" w:cs="宋体"/>
                <w:spacing w:val="-6"/>
                <w:szCs w:val="21"/>
              </w:rPr>
            </w:pPr>
          </w:p>
        </w:tc>
        <w:tc>
          <w:tcPr>
            <w:tcW w:w="1285" w:type="dxa"/>
            <w:vAlign w:val="center"/>
          </w:tcPr>
          <w:p>
            <w:pPr>
              <w:widowControl/>
              <w:spacing w:line="360" w:lineRule="auto"/>
              <w:jc w:val="center"/>
              <w:textAlignment w:val="center"/>
              <w:rPr>
                <w:rFonts w:ascii="宋体" w:hAnsi="宋体" w:cs="宋体"/>
                <w:spacing w:val="-6"/>
                <w:szCs w:val="21"/>
              </w:rPr>
            </w:pPr>
          </w:p>
        </w:tc>
        <w:tc>
          <w:tcPr>
            <w:tcW w:w="5358" w:type="dxa"/>
            <w:vAlign w:val="center"/>
          </w:tcPr>
          <w:p>
            <w:pPr>
              <w:widowControl/>
              <w:spacing w:line="360" w:lineRule="auto"/>
              <w:jc w:val="left"/>
              <w:textAlignment w:val="center"/>
              <w:rPr>
                <w:rFonts w:ascii="宋体" w:hAnsi="宋体" w:cs="宋体"/>
                <w:szCs w:val="21"/>
              </w:rPr>
            </w:pPr>
          </w:p>
        </w:tc>
        <w:tc>
          <w:tcPr>
            <w:tcW w:w="825" w:type="dxa"/>
            <w:vAlign w:val="center"/>
          </w:tcPr>
          <w:p>
            <w:pPr>
              <w:widowControl/>
              <w:spacing w:line="360" w:lineRule="auto"/>
              <w:jc w:val="center"/>
              <w:textAlignment w:val="center"/>
              <w:rPr>
                <w:rFonts w:ascii="宋体" w:hAnsi="宋体" w:cs="宋体"/>
                <w:szCs w:val="21"/>
              </w:rPr>
            </w:pPr>
          </w:p>
        </w:tc>
        <w:tc>
          <w:tcPr>
            <w:tcW w:w="1133" w:type="dxa"/>
            <w:vAlign w:val="center"/>
          </w:tcPr>
          <w:p>
            <w:pPr>
              <w:widowControl/>
              <w:spacing w:line="360" w:lineRule="auto"/>
              <w:jc w:val="center"/>
              <w:textAlignment w:val="center"/>
              <w:rPr>
                <w:rFonts w:ascii="宋体" w:hAnsi="宋体" w:cs="宋体"/>
                <w:color w:val="FF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spacing w:line="360" w:lineRule="auto"/>
              <w:jc w:val="center"/>
              <w:rPr>
                <w:rFonts w:ascii="宋体" w:hAnsi="宋体" w:cs="宋体"/>
                <w:spacing w:val="-6"/>
                <w:szCs w:val="21"/>
              </w:rPr>
            </w:pPr>
          </w:p>
        </w:tc>
        <w:tc>
          <w:tcPr>
            <w:tcW w:w="1285" w:type="dxa"/>
            <w:vAlign w:val="center"/>
          </w:tcPr>
          <w:p>
            <w:pPr>
              <w:spacing w:line="360" w:lineRule="auto"/>
              <w:rPr>
                <w:rFonts w:ascii="宋体" w:hAnsi="宋体" w:cs="宋体"/>
                <w:spacing w:val="-6"/>
                <w:kern w:val="0"/>
                <w:szCs w:val="21"/>
              </w:rPr>
            </w:pPr>
          </w:p>
        </w:tc>
        <w:tc>
          <w:tcPr>
            <w:tcW w:w="5358" w:type="dxa"/>
            <w:vAlign w:val="center"/>
          </w:tcPr>
          <w:p>
            <w:pPr>
              <w:spacing w:line="360" w:lineRule="auto"/>
              <w:rPr>
                <w:rFonts w:ascii="宋体" w:hAnsi="宋体" w:cs="宋体"/>
                <w:spacing w:val="-6"/>
                <w:szCs w:val="21"/>
              </w:rPr>
            </w:pPr>
          </w:p>
        </w:tc>
        <w:tc>
          <w:tcPr>
            <w:tcW w:w="825" w:type="dxa"/>
            <w:vAlign w:val="center"/>
          </w:tcPr>
          <w:p>
            <w:pPr>
              <w:spacing w:line="360" w:lineRule="auto"/>
              <w:rPr>
                <w:rFonts w:ascii="宋体" w:hAnsi="宋体" w:cs="宋体"/>
                <w:spacing w:val="-6"/>
                <w:szCs w:val="21"/>
              </w:rPr>
            </w:pPr>
          </w:p>
        </w:tc>
        <w:tc>
          <w:tcPr>
            <w:tcW w:w="1133" w:type="dxa"/>
            <w:vAlign w:val="center"/>
          </w:tcPr>
          <w:p>
            <w:pPr>
              <w:spacing w:line="360" w:lineRule="auto"/>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spacing w:val="-6"/>
                <w:kern w:val="0"/>
                <w:szCs w:val="21"/>
              </w:rPr>
            </w:pPr>
          </w:p>
        </w:tc>
        <w:tc>
          <w:tcPr>
            <w:tcW w:w="5358" w:type="dxa"/>
            <w:vAlign w:val="center"/>
          </w:tcPr>
          <w:p>
            <w:pPr>
              <w:autoSpaceDE w:val="0"/>
              <w:autoSpaceDN w:val="0"/>
              <w:adjustRightInd w:val="0"/>
              <w:spacing w:line="360" w:lineRule="auto"/>
              <w:ind w:right="71" w:rightChars="34"/>
              <w:rPr>
                <w:rFonts w:ascii="宋体" w:hAnsi="宋体" w:cs="宋体"/>
                <w:spacing w:val="-6"/>
                <w:kern w:val="0"/>
                <w:szCs w:val="21"/>
              </w:rPr>
            </w:pPr>
          </w:p>
        </w:tc>
        <w:tc>
          <w:tcPr>
            <w:tcW w:w="825" w:type="dxa"/>
            <w:vAlign w:val="center"/>
          </w:tcPr>
          <w:p>
            <w:pPr>
              <w:autoSpaceDE w:val="0"/>
              <w:autoSpaceDN w:val="0"/>
              <w:adjustRightInd w:val="0"/>
              <w:spacing w:line="360" w:lineRule="auto"/>
              <w:ind w:right="71" w:rightChars="34"/>
              <w:rPr>
                <w:rFonts w:ascii="宋体" w:hAnsi="宋体" w:cs="宋体"/>
                <w:spacing w:val="-6"/>
                <w:kern w:val="0"/>
                <w:szCs w:val="21"/>
              </w:rPr>
            </w:pPr>
          </w:p>
        </w:tc>
        <w:tc>
          <w:tcPr>
            <w:tcW w:w="1133" w:type="dxa"/>
            <w:vAlign w:val="center"/>
          </w:tcPr>
          <w:p>
            <w:pPr>
              <w:autoSpaceDE w:val="0"/>
              <w:autoSpaceDN w:val="0"/>
              <w:adjustRightInd w:val="0"/>
              <w:spacing w:line="360" w:lineRule="auto"/>
              <w:ind w:right="71" w:rightChars="34"/>
              <w:rPr>
                <w:rFonts w:ascii="宋体" w:hAnsi="宋体" w:cs="宋体"/>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color w:val="000000"/>
                <w:spacing w:val="-6"/>
                <w:szCs w:val="21"/>
              </w:rPr>
            </w:pPr>
          </w:p>
        </w:tc>
        <w:tc>
          <w:tcPr>
            <w:tcW w:w="5358" w:type="dxa"/>
            <w:vAlign w:val="center"/>
          </w:tcPr>
          <w:p>
            <w:pPr>
              <w:autoSpaceDE w:val="0"/>
              <w:autoSpaceDN w:val="0"/>
              <w:adjustRightInd w:val="0"/>
              <w:spacing w:line="360" w:lineRule="auto"/>
              <w:ind w:right="71" w:rightChars="34"/>
              <w:rPr>
                <w:rFonts w:ascii="宋体" w:hAnsi="宋体" w:cs="宋体"/>
                <w:color w:val="000000"/>
                <w:spacing w:val="-6"/>
                <w:szCs w:val="21"/>
              </w:rPr>
            </w:pPr>
          </w:p>
        </w:tc>
        <w:tc>
          <w:tcPr>
            <w:tcW w:w="825" w:type="dxa"/>
            <w:vAlign w:val="center"/>
          </w:tcPr>
          <w:p>
            <w:pPr>
              <w:autoSpaceDE w:val="0"/>
              <w:autoSpaceDN w:val="0"/>
              <w:adjustRightInd w:val="0"/>
              <w:spacing w:line="360" w:lineRule="auto"/>
              <w:ind w:right="71" w:rightChars="34"/>
              <w:rPr>
                <w:rFonts w:ascii="宋体" w:hAnsi="宋体" w:cs="宋体"/>
                <w:color w:val="000000"/>
                <w:spacing w:val="-6"/>
                <w:szCs w:val="21"/>
              </w:rPr>
            </w:pPr>
          </w:p>
        </w:tc>
        <w:tc>
          <w:tcPr>
            <w:tcW w:w="1133" w:type="dxa"/>
            <w:vAlign w:val="center"/>
          </w:tcPr>
          <w:p>
            <w:pPr>
              <w:autoSpaceDE w:val="0"/>
              <w:autoSpaceDN w:val="0"/>
              <w:adjustRightInd w:val="0"/>
              <w:spacing w:line="360" w:lineRule="auto"/>
              <w:ind w:right="71" w:rightChars="34"/>
              <w:rPr>
                <w:rFonts w:ascii="宋体" w:hAnsi="宋体" w:cs="宋体"/>
                <w:color w:val="000000"/>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tcBorders>
              <w:bottom w:val="single" w:color="auto" w:sz="4" w:space="0"/>
            </w:tcBorders>
            <w:vAlign w:val="center"/>
          </w:tcPr>
          <w:p>
            <w:pPr>
              <w:spacing w:line="360" w:lineRule="auto"/>
              <w:rPr>
                <w:rFonts w:ascii="宋体" w:hAnsi="宋体" w:cs="宋体"/>
                <w:spacing w:val="-6"/>
                <w:kern w:val="0"/>
                <w:szCs w:val="21"/>
              </w:rPr>
            </w:pPr>
          </w:p>
        </w:tc>
        <w:tc>
          <w:tcPr>
            <w:tcW w:w="5358" w:type="dxa"/>
            <w:tcBorders>
              <w:bottom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c>
          <w:tcPr>
            <w:tcW w:w="825" w:type="dxa"/>
            <w:tcBorders>
              <w:bottom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c>
          <w:tcPr>
            <w:tcW w:w="1133" w:type="dxa"/>
            <w:tcBorders>
              <w:bottom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tcBorders>
              <w:top w:val="single" w:color="auto" w:sz="4" w:space="0"/>
            </w:tcBorders>
            <w:vAlign w:val="center"/>
          </w:tcPr>
          <w:p>
            <w:pPr>
              <w:spacing w:line="360" w:lineRule="auto"/>
              <w:rPr>
                <w:rFonts w:ascii="宋体" w:hAnsi="宋体" w:cs="宋体"/>
                <w:spacing w:val="-6"/>
                <w:kern w:val="0"/>
                <w:szCs w:val="21"/>
              </w:rPr>
            </w:pPr>
          </w:p>
        </w:tc>
        <w:tc>
          <w:tcPr>
            <w:tcW w:w="5358" w:type="dxa"/>
            <w:tcBorders>
              <w:top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c>
          <w:tcPr>
            <w:tcW w:w="825" w:type="dxa"/>
            <w:tcBorders>
              <w:top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c>
          <w:tcPr>
            <w:tcW w:w="1133" w:type="dxa"/>
            <w:tcBorders>
              <w:top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spacing w:line="360" w:lineRule="auto"/>
              <w:jc w:val="center"/>
              <w:rPr>
                <w:rFonts w:ascii="宋体" w:hAnsi="宋体" w:cs="宋体"/>
                <w:spacing w:val="-6"/>
                <w:szCs w:val="21"/>
              </w:rPr>
            </w:pPr>
          </w:p>
        </w:tc>
        <w:tc>
          <w:tcPr>
            <w:tcW w:w="1285" w:type="dxa"/>
            <w:vAlign w:val="center"/>
          </w:tcPr>
          <w:p>
            <w:pPr>
              <w:spacing w:line="360" w:lineRule="auto"/>
              <w:rPr>
                <w:rFonts w:ascii="宋体" w:hAnsi="宋体" w:cs="宋体"/>
                <w:spacing w:val="-6"/>
                <w:szCs w:val="21"/>
              </w:rPr>
            </w:pPr>
          </w:p>
        </w:tc>
        <w:tc>
          <w:tcPr>
            <w:tcW w:w="5358" w:type="dxa"/>
            <w:vAlign w:val="center"/>
          </w:tcPr>
          <w:p>
            <w:pPr>
              <w:spacing w:line="360" w:lineRule="auto"/>
              <w:ind w:left="-4" w:leftChars="-2" w:firstLine="1" w:firstLineChars="1"/>
              <w:rPr>
                <w:rFonts w:ascii="宋体" w:hAnsi="宋体" w:cs="宋体"/>
                <w:spacing w:val="-6"/>
                <w:szCs w:val="21"/>
              </w:rPr>
            </w:pPr>
          </w:p>
        </w:tc>
        <w:tc>
          <w:tcPr>
            <w:tcW w:w="825" w:type="dxa"/>
            <w:vAlign w:val="center"/>
          </w:tcPr>
          <w:p>
            <w:pPr>
              <w:spacing w:line="360" w:lineRule="auto"/>
              <w:ind w:left="-4" w:leftChars="-2" w:firstLine="1" w:firstLineChars="1"/>
              <w:rPr>
                <w:rFonts w:ascii="宋体" w:hAnsi="宋体" w:cs="宋体"/>
                <w:spacing w:val="-6"/>
                <w:szCs w:val="21"/>
              </w:rPr>
            </w:pPr>
          </w:p>
        </w:tc>
        <w:tc>
          <w:tcPr>
            <w:tcW w:w="1133" w:type="dxa"/>
            <w:vAlign w:val="center"/>
          </w:tcPr>
          <w:p>
            <w:pPr>
              <w:spacing w:line="360" w:lineRule="auto"/>
              <w:ind w:left="-4" w:leftChars="-2" w:firstLine="1" w:firstLineChars="1"/>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ind w:left="-4" w:leftChars="-2" w:firstLine="2" w:firstLineChars="1"/>
              <w:rPr>
                <w:rFonts w:ascii="宋体" w:hAnsi="宋体" w:cs="宋体"/>
                <w:szCs w:val="21"/>
              </w:rPr>
            </w:pPr>
          </w:p>
        </w:tc>
        <w:tc>
          <w:tcPr>
            <w:tcW w:w="1285" w:type="dxa"/>
            <w:vAlign w:val="center"/>
          </w:tcPr>
          <w:p>
            <w:pPr>
              <w:spacing w:line="360" w:lineRule="auto"/>
              <w:ind w:left="-4" w:leftChars="-2" w:firstLine="2" w:firstLineChars="1"/>
              <w:rPr>
                <w:rFonts w:ascii="宋体" w:hAnsi="宋体" w:cs="宋体"/>
                <w:szCs w:val="21"/>
              </w:rPr>
            </w:pPr>
          </w:p>
        </w:tc>
        <w:tc>
          <w:tcPr>
            <w:tcW w:w="5358" w:type="dxa"/>
            <w:vAlign w:val="center"/>
          </w:tcPr>
          <w:p>
            <w:pPr>
              <w:spacing w:line="360" w:lineRule="auto"/>
              <w:ind w:left="-4" w:leftChars="-2" w:firstLine="2" w:firstLineChars="1"/>
              <w:rPr>
                <w:rFonts w:ascii="宋体" w:hAnsi="宋体" w:cs="宋体"/>
                <w:szCs w:val="21"/>
              </w:rPr>
            </w:pPr>
          </w:p>
        </w:tc>
        <w:tc>
          <w:tcPr>
            <w:tcW w:w="825" w:type="dxa"/>
            <w:vAlign w:val="center"/>
          </w:tcPr>
          <w:p>
            <w:pPr>
              <w:spacing w:line="360" w:lineRule="auto"/>
              <w:ind w:left="-4" w:leftChars="-2" w:firstLine="2" w:firstLineChars="1"/>
              <w:rPr>
                <w:rFonts w:ascii="宋体" w:hAnsi="宋体" w:cs="宋体"/>
                <w:szCs w:val="21"/>
              </w:rPr>
            </w:pPr>
          </w:p>
        </w:tc>
        <w:tc>
          <w:tcPr>
            <w:tcW w:w="1133" w:type="dxa"/>
            <w:vAlign w:val="center"/>
          </w:tcPr>
          <w:p>
            <w:pPr>
              <w:spacing w:line="360" w:lineRule="auto"/>
              <w:ind w:left="-4" w:leftChars="-2" w:firstLine="2" w:firstLineChars="1"/>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spacing w:val="-6"/>
                <w:kern w:val="0"/>
                <w:szCs w:val="21"/>
              </w:rPr>
            </w:pPr>
          </w:p>
        </w:tc>
        <w:tc>
          <w:tcPr>
            <w:tcW w:w="5358" w:type="dxa"/>
            <w:vAlign w:val="center"/>
          </w:tcPr>
          <w:p>
            <w:pPr>
              <w:autoSpaceDE w:val="0"/>
              <w:autoSpaceDN w:val="0"/>
              <w:adjustRightInd w:val="0"/>
              <w:spacing w:line="360" w:lineRule="auto"/>
              <w:rPr>
                <w:rFonts w:ascii="宋体" w:hAnsi="宋体" w:cs="宋体"/>
                <w:spacing w:val="-6"/>
                <w:kern w:val="0"/>
                <w:szCs w:val="21"/>
              </w:rPr>
            </w:pPr>
          </w:p>
        </w:tc>
        <w:tc>
          <w:tcPr>
            <w:tcW w:w="825" w:type="dxa"/>
            <w:vAlign w:val="center"/>
          </w:tcPr>
          <w:p>
            <w:pPr>
              <w:autoSpaceDE w:val="0"/>
              <w:autoSpaceDN w:val="0"/>
              <w:adjustRightInd w:val="0"/>
              <w:spacing w:line="360" w:lineRule="auto"/>
              <w:rPr>
                <w:rFonts w:ascii="宋体" w:hAnsi="宋体" w:cs="宋体"/>
                <w:spacing w:val="-6"/>
                <w:kern w:val="0"/>
                <w:szCs w:val="21"/>
              </w:rPr>
            </w:pPr>
          </w:p>
        </w:tc>
        <w:tc>
          <w:tcPr>
            <w:tcW w:w="1133" w:type="dxa"/>
            <w:vAlign w:val="center"/>
          </w:tcPr>
          <w:p>
            <w:pPr>
              <w:autoSpaceDE w:val="0"/>
              <w:autoSpaceDN w:val="0"/>
              <w:adjustRightInd w:val="0"/>
              <w:spacing w:line="360" w:lineRule="auto"/>
              <w:rPr>
                <w:rFonts w:ascii="宋体" w:hAnsi="宋体" w:cs="宋体"/>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spacing w:val="-6"/>
                <w:szCs w:val="21"/>
              </w:rPr>
            </w:pPr>
          </w:p>
        </w:tc>
        <w:tc>
          <w:tcPr>
            <w:tcW w:w="5358" w:type="dxa"/>
            <w:vAlign w:val="center"/>
          </w:tcPr>
          <w:p>
            <w:pPr>
              <w:spacing w:line="360" w:lineRule="auto"/>
              <w:ind w:left="-4" w:leftChars="-2" w:firstLine="1" w:firstLineChars="1"/>
              <w:rPr>
                <w:rFonts w:ascii="宋体" w:hAnsi="宋体" w:cs="宋体"/>
                <w:spacing w:val="-6"/>
                <w:szCs w:val="21"/>
              </w:rPr>
            </w:pPr>
          </w:p>
        </w:tc>
        <w:tc>
          <w:tcPr>
            <w:tcW w:w="825" w:type="dxa"/>
            <w:vAlign w:val="center"/>
          </w:tcPr>
          <w:p>
            <w:pPr>
              <w:spacing w:line="360" w:lineRule="auto"/>
              <w:ind w:left="-4" w:leftChars="-2" w:firstLine="1" w:firstLineChars="1"/>
              <w:rPr>
                <w:rFonts w:ascii="宋体" w:hAnsi="宋体" w:cs="宋体"/>
                <w:spacing w:val="-6"/>
                <w:szCs w:val="21"/>
              </w:rPr>
            </w:pPr>
          </w:p>
        </w:tc>
        <w:tc>
          <w:tcPr>
            <w:tcW w:w="1133" w:type="dxa"/>
            <w:vAlign w:val="center"/>
          </w:tcPr>
          <w:p>
            <w:pPr>
              <w:spacing w:line="360" w:lineRule="auto"/>
              <w:ind w:left="-4" w:leftChars="-2" w:firstLine="1" w:firstLineChars="1"/>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spacing w:val="-6"/>
                <w:szCs w:val="21"/>
              </w:rPr>
            </w:pPr>
          </w:p>
        </w:tc>
        <w:tc>
          <w:tcPr>
            <w:tcW w:w="5358" w:type="dxa"/>
            <w:vAlign w:val="center"/>
          </w:tcPr>
          <w:p>
            <w:pPr>
              <w:spacing w:line="360" w:lineRule="auto"/>
              <w:rPr>
                <w:rFonts w:ascii="宋体" w:hAnsi="宋体" w:cs="宋体"/>
                <w:spacing w:val="-6"/>
                <w:szCs w:val="21"/>
              </w:rPr>
            </w:pPr>
          </w:p>
        </w:tc>
        <w:tc>
          <w:tcPr>
            <w:tcW w:w="825" w:type="dxa"/>
            <w:vAlign w:val="center"/>
          </w:tcPr>
          <w:p>
            <w:pPr>
              <w:spacing w:line="360" w:lineRule="auto"/>
              <w:rPr>
                <w:rFonts w:ascii="宋体" w:hAnsi="宋体" w:cs="宋体"/>
                <w:spacing w:val="-6"/>
                <w:szCs w:val="21"/>
              </w:rPr>
            </w:pPr>
          </w:p>
        </w:tc>
        <w:tc>
          <w:tcPr>
            <w:tcW w:w="1133" w:type="dxa"/>
            <w:vAlign w:val="center"/>
          </w:tcPr>
          <w:p>
            <w:pPr>
              <w:spacing w:line="360" w:lineRule="auto"/>
              <w:rPr>
                <w:rFonts w:ascii="宋体" w:hAnsi="宋体" w:cs="宋体"/>
                <w:spacing w:val="-6"/>
                <w:szCs w:val="21"/>
              </w:rPr>
            </w:pPr>
          </w:p>
        </w:tc>
      </w:tr>
    </w:tbl>
    <w:p>
      <w:pPr>
        <w:autoSpaceDE w:val="0"/>
        <w:autoSpaceDN w:val="0"/>
        <w:adjustRightInd w:val="0"/>
        <w:spacing w:line="480" w:lineRule="auto"/>
        <w:rPr>
          <w:rFonts w:asciiTheme="minorEastAsia" w:hAnsiTheme="minorEastAsia" w:eastAsiaTheme="minorEastAsia" w:cstheme="minorEastAsia"/>
          <w:b/>
        </w:rPr>
      </w:pPr>
    </w:p>
    <w:p>
      <w:pPr>
        <w:adjustRightInd w:val="0"/>
        <w:snapToGrid w:val="0"/>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rPr>
        <w:br w:type="textWrapping"/>
      </w:r>
    </w:p>
    <w:p>
      <w:pPr>
        <w:adjustRightInd w:val="0"/>
        <w:snapToGrid w:val="0"/>
        <w:spacing w:line="480" w:lineRule="auto"/>
        <w:jc w:val="center"/>
        <w:outlineLvl w:val="1"/>
        <w:rPr>
          <w:rFonts w:asciiTheme="minorEastAsia" w:hAnsiTheme="minorEastAsia" w:eastAsiaTheme="minorEastAsia" w:cstheme="minorEastAsia"/>
          <w:b/>
        </w:rPr>
      </w:pPr>
      <w:bookmarkStart w:id="132" w:name="_Toc15789"/>
      <w:bookmarkStart w:id="133" w:name="_Toc21694"/>
      <w:bookmarkStart w:id="134" w:name="_Toc479184125"/>
      <w:bookmarkStart w:id="135" w:name="_Toc30144"/>
      <w:r>
        <w:rPr>
          <w:rFonts w:hint="eastAsia" w:asciiTheme="minorEastAsia" w:hAnsiTheme="minorEastAsia" w:eastAsiaTheme="minorEastAsia" w:cstheme="minorEastAsia"/>
          <w:b/>
        </w:rPr>
        <w:t>二、磋商书</w:t>
      </w:r>
      <w:bookmarkEnd w:id="132"/>
      <w:bookmarkEnd w:id="133"/>
      <w:bookmarkEnd w:id="134"/>
      <w:bookmarkEnd w:id="135"/>
    </w:p>
    <w:p>
      <w:pPr>
        <w:pStyle w:val="20"/>
        <w:rPr>
          <w:rFonts w:asciiTheme="minorEastAsia" w:hAnsiTheme="minorEastAsia" w:eastAsiaTheme="minorEastAsia" w:cstheme="minorEastAsia"/>
          <w:b/>
          <w:szCs w:val="21"/>
        </w:rPr>
      </w:pPr>
    </w:p>
    <w:p>
      <w:pPr>
        <w:autoSpaceDE w:val="0"/>
        <w:autoSpaceDN w:val="0"/>
        <w:adjustRightIn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u w:val="single"/>
        </w:rPr>
        <w:t>（政府采购代理机构）：</w:t>
      </w:r>
    </w:p>
    <w:p>
      <w:pPr>
        <w:autoSpaceDE w:val="0"/>
        <w:autoSpaceDN w:val="0"/>
        <w:adjustRightInd w:val="0"/>
        <w:ind w:left="2" w:firstLine="462" w:firstLineChars="2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依据贵方（项目名称/项目编号）项目第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包服务的磋商邀请，我方代表（姓名、职务）经正式授权并代表供应商（供应商的名称、地址）提交下述文件正本一份，副本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numPr>
          <w:ilvl w:val="1"/>
          <w:numId w:val="39"/>
        </w:numPr>
        <w:tabs>
          <w:tab w:val="left" w:pos="840"/>
          <w:tab w:val="clear" w:pos="360"/>
        </w:tabs>
        <w:autoSpaceDE w:val="0"/>
        <w:autoSpaceDN w:val="0"/>
        <w:adjustRightInd w:val="0"/>
        <w:ind w:left="840" w:hanging="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竞争性磋商响应文件；</w:t>
      </w:r>
    </w:p>
    <w:p>
      <w:pPr>
        <w:numPr>
          <w:ilvl w:val="1"/>
          <w:numId w:val="39"/>
        </w:numPr>
        <w:tabs>
          <w:tab w:val="left" w:pos="840"/>
          <w:tab w:val="clear" w:pos="360"/>
        </w:tabs>
        <w:autoSpaceDE w:val="0"/>
        <w:autoSpaceDN w:val="0"/>
        <w:adjustRightInd w:val="0"/>
        <w:ind w:left="840" w:hanging="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numPr>
          <w:ilvl w:val="1"/>
          <w:numId w:val="39"/>
        </w:numPr>
        <w:tabs>
          <w:tab w:val="left" w:pos="840"/>
          <w:tab w:val="clear" w:pos="360"/>
        </w:tabs>
        <w:autoSpaceDE w:val="0"/>
        <w:autoSpaceDN w:val="0"/>
        <w:adjustRightInd w:val="0"/>
        <w:ind w:left="840" w:hanging="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按采购的规定递交</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元（人民币大写）的保证金（如有）。</w:t>
      </w:r>
    </w:p>
    <w:p>
      <w:pPr>
        <w:autoSpaceDE w:val="0"/>
        <w:autoSpaceDN w:val="0"/>
        <w:adjustRightInd w:val="0"/>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并进行如下承诺声明：</w:t>
      </w:r>
    </w:p>
    <w:p>
      <w:pPr>
        <w:numPr>
          <w:ilvl w:val="0"/>
          <w:numId w:val="40"/>
        </w:numPr>
        <w:tabs>
          <w:tab w:val="left" w:pos="840"/>
        </w:tabs>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我公司在参加本次政府采购活动前</w:t>
      </w:r>
      <w:r>
        <w:rPr>
          <w:rFonts w:hint="eastAsia" w:asciiTheme="minorEastAsia" w:hAnsiTheme="minorEastAsia" w:eastAsiaTheme="minorEastAsia" w:cstheme="minorEastAsia"/>
          <w:kern w:val="0"/>
          <w:szCs w:val="21"/>
        </w:rPr>
        <w:t>3年内在经营活动中没有重大违法记录；</w:t>
      </w:r>
    </w:p>
    <w:p>
      <w:pPr>
        <w:numPr>
          <w:ilvl w:val="0"/>
          <w:numId w:val="40"/>
        </w:numPr>
        <w:tabs>
          <w:tab w:val="left" w:pos="840"/>
        </w:tabs>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我公司在本响应文件中所提供的全部资格证明文件均真实有效，我方承诺对其真实性负责并承担相应后果；</w:t>
      </w:r>
    </w:p>
    <w:p>
      <w:pPr>
        <w:numPr>
          <w:ilvl w:val="0"/>
          <w:numId w:val="40"/>
        </w:numPr>
        <w:tabs>
          <w:tab w:val="left" w:pos="840"/>
        </w:tabs>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我公司在本响应文件中所响应的内容均将成为签订合同的依据，并承诺按响应内容提供相应服务；</w:t>
      </w:r>
    </w:p>
    <w:p>
      <w:pPr>
        <w:numPr>
          <w:ilvl w:val="0"/>
          <w:numId w:val="40"/>
        </w:numPr>
        <w:tabs>
          <w:tab w:val="left" w:pos="840"/>
        </w:tabs>
        <w:autoSpaceDE w:val="0"/>
        <w:autoSpaceDN w:val="0"/>
        <w:adjustRightInd w:val="0"/>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0"/>
          <w:szCs w:val="21"/>
        </w:rPr>
        <w:t>重要声明：</w:t>
      </w:r>
    </w:p>
    <w:p>
      <w:pPr>
        <w:tabs>
          <w:tab w:val="left" w:pos="840"/>
        </w:tabs>
        <w:autoSpaceDE w:val="0"/>
        <w:autoSpaceDN w:val="0"/>
        <w:adjustRightInd w:val="0"/>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kern w:val="0"/>
          <w:szCs w:val="21"/>
        </w:rPr>
        <w:t>4.1</w:t>
      </w:r>
      <w:r>
        <w:rPr>
          <w:rFonts w:hint="eastAsia" w:asciiTheme="minorEastAsia" w:hAnsiTheme="minorEastAsia" w:eastAsiaTheme="minorEastAsia" w:cstheme="minorEastAsia"/>
        </w:rPr>
        <w:t>与我方单位负责人为同一人的其他单位名称：□无；□有，具体单位名称为：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 xml:space="preserve">      </w:t>
      </w:r>
    </w:p>
    <w:p>
      <w:pPr>
        <w:tabs>
          <w:tab w:val="left" w:pos="840"/>
        </w:tabs>
        <w:autoSpaceDE w:val="0"/>
        <w:autoSpaceDN w:val="0"/>
        <w:adjustRightInd w:val="0"/>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rPr>
        <w:t>4.2与我方存在控股、管理关系的其他单位的名称：□无；□有，具体单位名称为：</w:t>
      </w:r>
      <w:r>
        <w:rPr>
          <w:rFonts w:hint="eastAsia" w:asciiTheme="minorEastAsia" w:hAnsiTheme="minorEastAsia" w:eastAsiaTheme="minorEastAsia" w:cstheme="minorEastAsia"/>
          <w:u w:val="single"/>
        </w:rPr>
        <w:t>     </w:t>
      </w:r>
    </w:p>
    <w:p>
      <w:pPr>
        <w:tabs>
          <w:tab w:val="left" w:pos="840"/>
        </w:tabs>
        <w:autoSpaceDE w:val="0"/>
        <w:autoSpaceDN w:val="0"/>
        <w:adjustRightInd w:val="0"/>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u w:val="single"/>
        </w:rPr>
        <w:t>     </w:t>
      </w:r>
    </w:p>
    <w:p>
      <w:r>
        <w:rPr>
          <w:rFonts w:hint="eastAsia" w:asciiTheme="minorEastAsia" w:hAnsiTheme="minorEastAsia" w:eastAsiaTheme="minorEastAsia" w:cstheme="minorEastAsia"/>
          <w:b/>
          <w:bCs/>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在此，我方宣布同意如下：</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所附《报价一览表》中规定的应提交和交付的货物报价总价为</w:t>
      </w:r>
      <w:r>
        <w:rPr>
          <w:rFonts w:hint="eastAsia" w:asciiTheme="minorEastAsia" w:hAnsiTheme="minorEastAsia" w:eastAsiaTheme="minorEastAsia" w:cstheme="minorEastAsia"/>
          <w:kern w:val="0"/>
          <w:szCs w:val="21"/>
          <w:u w:val="single"/>
        </w:rPr>
        <w:t>（注明币种，并用文字和数字表示的报价总价）</w:t>
      </w:r>
      <w:r>
        <w:rPr>
          <w:rFonts w:hint="eastAsia" w:asciiTheme="minorEastAsia" w:hAnsiTheme="minorEastAsia" w:eastAsiaTheme="minorEastAsia" w:cstheme="minorEastAsia"/>
          <w:kern w:val="0"/>
          <w:szCs w:val="21"/>
        </w:rPr>
        <w:t>。</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将按竞争性磋商采购文件的约定履行合同责任和义务。</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已详细审查全部竞争性磋商采购文件，包括</w:t>
      </w:r>
      <w:r>
        <w:rPr>
          <w:rFonts w:hint="eastAsia" w:asciiTheme="minorEastAsia" w:hAnsiTheme="minorEastAsia" w:eastAsiaTheme="minorEastAsia" w:cstheme="minorEastAsia"/>
          <w:kern w:val="0"/>
          <w:szCs w:val="21"/>
          <w:u w:val="single"/>
        </w:rPr>
        <w:t>（补充文件等）</w:t>
      </w:r>
      <w:r>
        <w:rPr>
          <w:rFonts w:hint="eastAsia" w:asciiTheme="minorEastAsia" w:hAnsiTheme="minorEastAsia" w:eastAsiaTheme="minorEastAsia" w:cstheme="minorEastAsia"/>
          <w:kern w:val="0"/>
          <w:szCs w:val="21"/>
        </w:rPr>
        <w:t>，对此无异议。</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本竞争性磋商响应文件的有效期自磋商截止时间起共</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日历天。</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接收竞争性磋商采购文件中关于没收保证金的约定。</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同意提供按照贵方可能要求的与其报价有关的一切数据或资料。</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与本报价有关的一切正式往来信函请寄：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asciiTheme="minorEastAsia" w:hAnsiTheme="minorEastAsia" w:eastAsiaTheme="minorEastAsia" w:cstheme="minorEastAsia"/>
          <w:kern w:val="0"/>
          <w:szCs w:val="21"/>
        </w:rPr>
      </w:pP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    应    商：（盖章）</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  讯  地  址：</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子  函  件：</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授权代表（签字）：</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p>
    <w:p>
      <w:pPr>
        <w:tabs>
          <w:tab w:val="left" w:pos="540"/>
        </w:tabs>
        <w:autoSpaceDE w:val="0"/>
        <w:autoSpaceDN w:val="0"/>
        <w:adjustRightInd w:val="0"/>
        <w:jc w:val="center"/>
        <w:outlineLvl w:val="1"/>
        <w:rPr>
          <w:rFonts w:asciiTheme="minorEastAsia" w:hAnsiTheme="minorEastAsia" w:eastAsiaTheme="minorEastAsia" w:cstheme="minorEastAsia"/>
          <w:b/>
        </w:rPr>
      </w:pPr>
      <w:bookmarkStart w:id="136" w:name="_Toc479184126"/>
      <w:bookmarkStart w:id="137" w:name="_Toc12280"/>
      <w:bookmarkStart w:id="138" w:name="_Toc13969"/>
      <w:bookmarkStart w:id="139" w:name="_Toc24205"/>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t>三、法定代表人授权书</w:t>
      </w:r>
      <w:bookmarkEnd w:id="136"/>
      <w:bookmarkEnd w:id="137"/>
      <w:bookmarkEnd w:id="138"/>
      <w:bookmarkEnd w:id="139"/>
    </w:p>
    <w:p>
      <w:pPr>
        <w:rPr>
          <w:rFonts w:asciiTheme="minorEastAsia" w:hAnsiTheme="minorEastAsia" w:eastAsiaTheme="minorEastAsia" w:cstheme="minorEastAsia"/>
          <w:kern w:val="0"/>
          <w:szCs w:val="21"/>
        </w:rPr>
      </w:pPr>
    </w:p>
    <w:p>
      <w:pPr>
        <w:rPr>
          <w:rFonts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日起至</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日止。</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签发日期：</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日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授权代表职务：</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授权代表身份证号码：</w:t>
      </w:r>
      <w:r>
        <w:rPr>
          <w:rFonts w:hint="eastAsia" w:asciiTheme="minorEastAsia" w:hAnsiTheme="minorEastAsia" w:eastAsiaTheme="minorEastAsia" w:cstheme="minorEastAsia"/>
          <w:kern w:val="0"/>
          <w:szCs w:val="21"/>
          <w:u w:val="single"/>
        </w:rPr>
        <w:t xml:space="preserve">                                                                                    </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pPr>
            <w:r>
              <w:rPr>
                <w:rFonts w:hint="eastAsia"/>
              </w:rPr>
              <w:t>授权代表身份证正反面（真彩扫描件）：</w:t>
            </w:r>
          </w:p>
          <w:p>
            <w:pPr>
              <w:autoSpaceDE w:val="0"/>
              <w:autoSpaceDN w:val="0"/>
              <w:adjustRightInd w:val="0"/>
              <w:spacing w:line="360" w:lineRule="auto"/>
              <w:jc w:val="left"/>
            </w:pPr>
            <w:r>
              <w:rPr>
                <w:rFonts w:hint="eastAsia"/>
              </w:rPr>
              <w:t>法定代表人身份证正反面（真彩扫描件）：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pPr>
            <w:r>
              <w:rPr>
                <w:rFonts w:hint="eastAsia"/>
                <w:b/>
                <w:bCs/>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bookmarkStart w:id="140" w:name="_Toc12123"/>
      <w:bookmarkStart w:id="141" w:name="_Toc424832832"/>
      <w:bookmarkStart w:id="142" w:name="_Toc360120184"/>
      <w:bookmarkStart w:id="143" w:name="_Toc479184127"/>
      <w:bookmarkStart w:id="144" w:name="_Toc432149008"/>
      <w:bookmarkStart w:id="145" w:name="_Toc29904"/>
      <w:bookmarkStart w:id="146" w:name="_Toc30245"/>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三、</w:t>
      </w:r>
      <w:r>
        <w:rPr>
          <w:rFonts w:hint="eastAsia" w:asciiTheme="minorEastAsia" w:hAnsiTheme="minorEastAsia" w:eastAsiaTheme="minorEastAsia" w:cstheme="minorEastAsia"/>
          <w:b/>
          <w:bCs/>
          <w:szCs w:val="21"/>
        </w:rPr>
        <w:t>法定代表人身份证明书</w:t>
      </w:r>
      <w:bookmarkEnd w:id="140"/>
      <w:bookmarkEnd w:id="141"/>
      <w:bookmarkEnd w:id="142"/>
      <w:bookmarkEnd w:id="143"/>
      <w:bookmarkEnd w:id="144"/>
      <w:bookmarkEnd w:id="145"/>
      <w:bookmarkEnd w:id="146"/>
    </w:p>
    <w:p>
      <w:pPr>
        <w:spacing w:line="360" w:lineRule="auto"/>
        <w:rPr>
          <w:rFonts w:asciiTheme="minorEastAsia" w:hAnsiTheme="minorEastAsia" w:eastAsiaTheme="minorEastAsia" w:cstheme="minorEastAsia"/>
          <w:kern w:val="0"/>
          <w:szCs w:val="21"/>
        </w:rPr>
      </w:pP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（姓名）</w:t>
      </w:r>
      <w:r>
        <w:rPr>
          <w:rFonts w:hint="eastAsia" w:asciiTheme="minorEastAsia" w:hAnsiTheme="minorEastAsia" w:eastAsiaTheme="minorEastAsia" w:cstheme="minorEastAsia"/>
          <w:szCs w:val="21"/>
        </w:rPr>
        <w:t>在我单位任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kern w:val="0"/>
          <w:szCs w:val="21"/>
        </w:rPr>
        <w:t>，系</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（供应商）的法定代表人。</w:t>
      </w:r>
    </w:p>
    <w:p>
      <w:pPr>
        <w:spacing w:line="360" w:lineRule="auto"/>
        <w:ind w:firstLine="630" w:firstLineChars="300"/>
        <w:rPr>
          <w:rFonts w:asciiTheme="minorEastAsia" w:hAnsiTheme="minorEastAsia" w:eastAsiaTheme="minorEastAsia" w:cstheme="minorEastAsia"/>
          <w:kern w:val="0"/>
          <w:szCs w:val="21"/>
        </w:rPr>
      </w:pP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年龄：</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p>
    <w:p>
      <w:pPr>
        <w:spacing w:line="360" w:lineRule="auto"/>
        <w:ind w:firstLine="5985" w:firstLineChars="28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w:t>
      </w:r>
    </w:p>
    <w:p>
      <w:pPr>
        <w:autoSpaceDE w:val="0"/>
        <w:autoSpaceDN w:val="0"/>
        <w:adjustRightInd w:val="0"/>
        <w:spacing w:line="360" w:lineRule="auto"/>
        <w:rPr>
          <w:rFonts w:asciiTheme="minorEastAsia" w:hAnsiTheme="minorEastAsia" w:eastAsiaTheme="minorEastAsia" w:cstheme="minorEastAsia"/>
          <w:kern w:val="0"/>
          <w:szCs w:val="21"/>
        </w:rPr>
      </w:pPr>
    </w:p>
    <w:p>
      <w:pPr>
        <w:autoSpaceDE w:val="0"/>
        <w:autoSpaceDN w:val="0"/>
        <w:adjustRightInd w:val="0"/>
        <w:spacing w:line="360" w:lineRule="auto"/>
        <w:rPr>
          <w:rFonts w:asciiTheme="minorEastAsia" w:hAnsiTheme="minorEastAsia" w:eastAsiaTheme="minorEastAsia" w:cstheme="minorEastAsia"/>
          <w:kern w:val="0"/>
          <w:szCs w:val="21"/>
        </w:rPr>
      </w:pPr>
    </w:p>
    <w:p>
      <w:pPr>
        <w:autoSpaceDE w:val="0"/>
        <w:autoSpaceDN w:val="0"/>
        <w:adjustRightInd w:val="0"/>
        <w:spacing w:line="360" w:lineRule="auto"/>
        <w:rPr>
          <w:rFonts w:asciiTheme="minorEastAsia" w:hAnsiTheme="minorEastAsia" w:eastAsiaTheme="minorEastAsia" w:cstheme="minorEastAsia"/>
          <w:kern w:val="0"/>
          <w:szCs w:val="21"/>
        </w:rPr>
      </w:pP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asciiTheme="minorEastAsia" w:hAnsiTheme="minorEastAsia" w:eastAsiaTheme="minorEastAsia" w:cstheme="minorEastAsia"/>
                <w:kern w:val="0"/>
                <w:szCs w:val="21"/>
              </w:rPr>
            </w:pPr>
          </w:p>
          <w:p>
            <w:pPr>
              <w:spacing w:line="360" w:lineRule="auto"/>
              <w:rPr>
                <w:rFonts w:asciiTheme="minorEastAsia" w:hAnsiTheme="minorEastAsia" w:eastAsiaTheme="minorEastAsia" w:cstheme="minorEastAsia"/>
                <w:kern w:val="0"/>
                <w:szCs w:val="21"/>
              </w:rPr>
            </w:pPr>
            <w:r>
              <w:rPr>
                <w:rFonts w:hint="eastAsia"/>
              </w:rPr>
              <w:t>粘贴法定代表人身份证正反面（真彩扫描件）：</w:t>
            </w:r>
          </w:p>
        </w:tc>
      </w:tr>
    </w:tbl>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注：本表适用于供应商不授权代理人，而由法定代表人直接参加磋商并签署响应文件的情况；</w:t>
      </w:r>
    </w:p>
    <w:p>
      <w:pPr>
        <w:rPr>
          <w:rFonts w:asciiTheme="minorEastAsia" w:hAnsiTheme="minorEastAsia" w:eastAsiaTheme="minorEastAsia" w:cstheme="minorEastAsia"/>
          <w:b/>
          <w:kern w:val="0"/>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bCs/>
          <w:szCs w:val="21"/>
        </w:rPr>
      </w:pPr>
    </w:p>
    <w:p>
      <w:pPr>
        <w:tabs>
          <w:tab w:val="left" w:pos="3969"/>
        </w:tabs>
        <w:spacing w:line="500" w:lineRule="exact"/>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bookmarkStart w:id="147" w:name="_Toc422466732"/>
      <w:bookmarkStart w:id="148" w:name="_Toc432149006"/>
      <w:r>
        <w:rPr>
          <w:rFonts w:hint="eastAsia" w:asciiTheme="minorEastAsia" w:hAnsiTheme="minorEastAsia" w:eastAsiaTheme="minorEastAsia" w:cstheme="minorEastAsia"/>
          <w:b/>
          <w:bCs/>
          <w:sz w:val="24"/>
        </w:rPr>
        <w:br w:type="page"/>
      </w:r>
      <w:bookmarkStart w:id="149" w:name="_Toc31978"/>
      <w:bookmarkStart w:id="150" w:name="_Toc479184128"/>
      <w:bookmarkStart w:id="151" w:name="_Toc4741"/>
      <w:bookmarkStart w:id="152" w:name="_Toc4301"/>
      <w:r>
        <w:rPr>
          <w:rFonts w:hint="eastAsia" w:asciiTheme="minorEastAsia" w:hAnsiTheme="minorEastAsia" w:eastAsiaTheme="minorEastAsia" w:cstheme="minorEastAsia"/>
          <w:b/>
          <w:bCs/>
          <w:szCs w:val="21"/>
        </w:rPr>
        <w:t>四、报价一览表</w:t>
      </w:r>
      <w:bookmarkEnd w:id="147"/>
      <w:bookmarkEnd w:id="148"/>
      <w:bookmarkEnd w:id="149"/>
      <w:bookmarkEnd w:id="150"/>
      <w:bookmarkEnd w:id="151"/>
      <w:bookmarkEnd w:id="152"/>
    </w:p>
    <w:p>
      <w:pPr>
        <w:adjustRightInd w:val="0"/>
        <w:snapToGrid w:val="0"/>
        <w:ind w:left="-88" w:leftChars="-42"/>
        <w:rPr>
          <w:rFonts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adjustRightInd w:val="0"/>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6"/>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宋体" w:hAnsi="宋体"/>
                <w:szCs w:val="21"/>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竞标报价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u w:val="single"/>
              </w:rPr>
              <w:t xml:space="preserve">小写：      </w:t>
            </w: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p>
    <w:p>
      <w:pPr>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（3）此表除保留在竞争性磋商响应文件中外，另复制一份与法定代表人授权书（原件）、保证金缴纳证明（如有）（复印件）及报价优惠声明（如有）一起另外密封装在一个小信封中，作为磋商记录之用。</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szCs w:val="21"/>
          <w:u w:val="single"/>
        </w:rPr>
      </w:pPr>
      <w:bookmarkStart w:id="153" w:name="_Toc460258117"/>
      <w:bookmarkStart w:id="154" w:name="_Toc259028723"/>
      <w:bookmarkStart w:id="155" w:name="_Toc424832831"/>
      <w:bookmarkStart w:id="156" w:name="_Toc432149007"/>
      <w:r>
        <w:rPr>
          <w:rFonts w:hint="eastAsia" w:asciiTheme="minorEastAsia" w:hAnsiTheme="minorEastAsia" w:eastAsiaTheme="minorEastAsia" w:cstheme="minorEastAsia"/>
          <w:b/>
          <w:bCs/>
          <w:sz w:val="24"/>
        </w:rPr>
        <w:br w:type="page"/>
      </w:r>
      <w:bookmarkStart w:id="157" w:name="_Toc18559"/>
      <w:bookmarkStart w:id="158" w:name="_Toc479184129"/>
      <w:bookmarkStart w:id="159" w:name="_Toc1079"/>
      <w:bookmarkStart w:id="160" w:name="_Toc29767"/>
      <w:r>
        <w:rPr>
          <w:rFonts w:hint="eastAsia" w:asciiTheme="minorEastAsia" w:hAnsiTheme="minorEastAsia" w:eastAsiaTheme="minorEastAsia" w:cstheme="minorEastAsia"/>
          <w:b/>
          <w:bCs/>
          <w:szCs w:val="21"/>
        </w:rPr>
        <w:t>五、</w:t>
      </w:r>
      <w:bookmarkEnd w:id="153"/>
      <w:bookmarkEnd w:id="154"/>
      <w:bookmarkEnd w:id="157"/>
      <w:bookmarkEnd w:id="158"/>
      <w:bookmarkEnd w:id="159"/>
      <w:r>
        <w:rPr>
          <w:rFonts w:hint="eastAsia" w:asciiTheme="minorEastAsia" w:hAnsiTheme="minorEastAsia" w:eastAsiaTheme="minorEastAsia" w:cstheme="minorEastAsia"/>
          <w:b/>
          <w:bCs/>
          <w:szCs w:val="21"/>
        </w:rPr>
        <w:t>报价费用构成表</w:t>
      </w:r>
      <w:bookmarkEnd w:id="160"/>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630"/>
        <w:gridCol w:w="936"/>
        <w:gridCol w:w="1118"/>
        <w:gridCol w:w="1248"/>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3630"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936"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11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124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c>
          <w:tcPr>
            <w:tcW w:w="1109"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3630"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1" w:type="dxa"/>
            <w:gridSpan w:val="4"/>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bl>
    <w:p>
      <w:pPr>
        <w:adjustRightInd w:val="0"/>
        <w:snapToGrid w:val="0"/>
        <w:rPr>
          <w:rFonts w:asciiTheme="minorEastAsia" w:hAnsiTheme="minorEastAsia" w:eastAsiaTheme="minorEastAsia" w:cstheme="minorEastAsia"/>
          <w:szCs w:val="21"/>
        </w:rPr>
      </w:pP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42"/>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所有价格按照“供应商须知”要求执行，精确到个数位。</w:t>
      </w:r>
    </w:p>
    <w:p>
      <w:pPr>
        <w:numPr>
          <w:ilvl w:val="0"/>
          <w:numId w:val="42"/>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42"/>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如果不提供详细的报价费用构成可能将被视为没有实质性响应磋商文件。</w:t>
      </w:r>
    </w:p>
    <w:p>
      <w:pPr>
        <w:adjustRightInd w:val="0"/>
        <w:snapToGrid w:val="0"/>
        <w:spacing w:line="360" w:lineRule="auto"/>
        <w:ind w:left="-88" w:leftChars="-42"/>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1" w:name="_Toc26825"/>
      <w:bookmarkStart w:id="162" w:name="_Toc28656"/>
      <w:bookmarkStart w:id="163" w:name="_Toc479184130"/>
      <w:bookmarkStart w:id="164" w:name="_Toc25729"/>
      <w:r>
        <w:rPr>
          <w:rFonts w:hint="eastAsia" w:asciiTheme="minorEastAsia" w:hAnsiTheme="minorEastAsia" w:eastAsiaTheme="minorEastAsia" w:cstheme="minorEastAsia"/>
          <w:b/>
          <w:bCs/>
          <w:szCs w:val="21"/>
        </w:rPr>
        <w:t>六、耗材清单</w:t>
      </w:r>
      <w:bookmarkEnd w:id="161"/>
      <w:bookmarkEnd w:id="162"/>
      <w:bookmarkEnd w:id="163"/>
      <w:r>
        <w:rPr>
          <w:rFonts w:hint="eastAsia" w:asciiTheme="minorEastAsia" w:hAnsiTheme="minorEastAsia" w:eastAsiaTheme="minorEastAsia" w:cstheme="minorEastAsia"/>
          <w:b/>
          <w:bCs/>
          <w:szCs w:val="21"/>
        </w:rPr>
        <w:t>（如有）</w:t>
      </w:r>
      <w:bookmarkEnd w:id="164"/>
    </w:p>
    <w:p>
      <w:pPr>
        <w:adjustRightInd w:val="0"/>
        <w:snapToGrid w:val="0"/>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left"/>
              <w:rPr>
                <w:rFonts w:asciiTheme="minorEastAsia" w:hAnsiTheme="minorEastAsia" w:eastAsiaTheme="minorEastAsia" w:cstheme="minorEastAsia"/>
                <w:kern w:val="0"/>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left"/>
        <w:rPr>
          <w:rFonts w:asciiTheme="minorEastAsia" w:hAnsiTheme="minorEastAsia" w:eastAsiaTheme="minorEastAsia" w:cstheme="minorEastAsia"/>
          <w:szCs w:val="21"/>
        </w:rPr>
      </w:pPr>
    </w:p>
    <w:p/>
    <w:p>
      <w:pPr>
        <w:tabs>
          <w:tab w:val="left" w:pos="540"/>
        </w:tabs>
        <w:autoSpaceDE w:val="0"/>
        <w:autoSpaceDN w:val="0"/>
        <w:adjustRightInd w:val="0"/>
        <w:spacing w:line="360" w:lineRule="auto"/>
        <w:jc w:val="left"/>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5" w:name="_Toc479184131"/>
      <w:bookmarkStart w:id="166" w:name="_Toc7535"/>
      <w:bookmarkStart w:id="167" w:name="_Toc32726"/>
      <w:bookmarkStart w:id="168" w:name="_Toc28053"/>
      <w:r>
        <w:rPr>
          <w:rFonts w:hint="eastAsia" w:asciiTheme="minorEastAsia" w:hAnsiTheme="minorEastAsia" w:eastAsiaTheme="minorEastAsia" w:cstheme="minorEastAsia"/>
          <w:b/>
          <w:bCs/>
          <w:szCs w:val="21"/>
        </w:rPr>
        <w:t>七、拟投入设备/备件、工具情况</w:t>
      </w:r>
      <w:bookmarkEnd w:id="165"/>
      <w:bookmarkEnd w:id="166"/>
      <w:bookmarkEnd w:id="167"/>
      <w:r>
        <w:rPr>
          <w:rFonts w:hint="eastAsia" w:asciiTheme="minorEastAsia" w:hAnsiTheme="minorEastAsia" w:eastAsiaTheme="minorEastAsia" w:cstheme="minorEastAsia"/>
          <w:b/>
          <w:bCs/>
          <w:szCs w:val="21"/>
        </w:rPr>
        <w:t>（如有）</w:t>
      </w:r>
      <w:bookmarkEnd w:id="168"/>
    </w:p>
    <w:p>
      <w:pPr>
        <w:spacing w:line="360" w:lineRule="auto"/>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设备</w:t>
            </w:r>
            <w:r>
              <w:rPr>
                <w:rFonts w:hint="eastAsia" w:asciiTheme="minorEastAsia" w:hAnsiTheme="minorEastAsia" w:eastAsiaTheme="minorEastAsia" w:cstheme="minorEastAsia"/>
                <w:b/>
                <w:bCs/>
                <w:szCs w:val="21"/>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left"/>
              <w:rPr>
                <w:rFonts w:asciiTheme="minorEastAsia" w:hAnsiTheme="minorEastAsia" w:eastAsiaTheme="minorEastAsia" w:cstheme="minorEastAsia"/>
                <w:kern w:val="0"/>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p>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9" w:name="_Toc479184132"/>
      <w:bookmarkStart w:id="170" w:name="_Toc27053"/>
      <w:bookmarkStart w:id="171" w:name="_Toc10449"/>
      <w:bookmarkStart w:id="172" w:name="_Toc450827818"/>
      <w:bookmarkStart w:id="173" w:name="_Toc28418"/>
      <w:r>
        <w:rPr>
          <w:rFonts w:hint="eastAsia" w:asciiTheme="minorEastAsia" w:hAnsiTheme="minorEastAsia" w:eastAsiaTheme="minorEastAsia" w:cstheme="minorEastAsia"/>
          <w:b/>
          <w:bCs/>
          <w:szCs w:val="21"/>
        </w:rPr>
        <w:t>八、缴纳保证金的银行凭证</w:t>
      </w:r>
      <w:bookmarkEnd w:id="169"/>
      <w:bookmarkEnd w:id="170"/>
      <w:bookmarkEnd w:id="171"/>
      <w:bookmarkEnd w:id="172"/>
      <w:r>
        <w:rPr>
          <w:rFonts w:hint="eastAsia" w:asciiTheme="minorEastAsia" w:hAnsiTheme="minorEastAsia" w:eastAsiaTheme="minorEastAsia" w:cstheme="minorEastAsia"/>
          <w:b/>
          <w:bCs/>
          <w:szCs w:val="21"/>
        </w:rPr>
        <w:t>（如有）</w:t>
      </w:r>
      <w:bookmarkEnd w:id="173"/>
    </w:p>
    <w:p>
      <w:pPr>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的采购活动。</w:t>
      </w:r>
      <w:r>
        <w:rPr>
          <w:rFonts w:hint="eastAsia" w:asciiTheme="minorEastAsia" w:hAnsiTheme="minorEastAsia" w:eastAsiaTheme="minorEastAsia" w:cstheme="minorEastAsia"/>
          <w:szCs w:val="21"/>
        </w:rPr>
        <w:t>按竞争性磋商文件的规定，已递交人民币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tc>
      </w:tr>
    </w:tbl>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p>
    <w:bookmarkEnd w:id="155"/>
    <w:bookmarkEnd w:id="156"/>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74" w:name="_Toc22252"/>
      <w:bookmarkStart w:id="175" w:name="_Toc1591"/>
      <w:bookmarkStart w:id="176" w:name="_Toc479184133"/>
      <w:bookmarkStart w:id="177" w:name="_Toc432149012"/>
      <w:bookmarkStart w:id="178" w:name="_Toc28200"/>
      <w:bookmarkStart w:id="179" w:name="_Toc422466736"/>
      <w:r>
        <w:rPr>
          <w:rFonts w:hint="eastAsia" w:asciiTheme="minorEastAsia" w:hAnsiTheme="minorEastAsia" w:eastAsiaTheme="minorEastAsia" w:cstheme="minorEastAsia"/>
          <w:b/>
          <w:bCs/>
          <w:szCs w:val="21"/>
        </w:rPr>
        <w:t>九、偏离说明表</w:t>
      </w:r>
      <w:bookmarkEnd w:id="174"/>
      <w:bookmarkEnd w:id="175"/>
      <w:bookmarkEnd w:id="176"/>
      <w:bookmarkEnd w:id="177"/>
      <w:bookmarkEnd w:id="178"/>
      <w:bookmarkEnd w:id="179"/>
    </w:p>
    <w:p>
      <w:pPr>
        <w:adjustRightInd w:val="0"/>
        <w:snapToGrid w:val="0"/>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color="auto" w:fill="D7D7D7" w:themeFill="background1" w:themeFillShade="D8"/>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bl>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43"/>
        </w:numPr>
        <w:tabs>
          <w:tab w:val="left" w:pos="540"/>
        </w:tabs>
        <w:adjustRightInd w:val="0"/>
        <w:snapToGrid w:val="0"/>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3"/>
        </w:numPr>
        <w:tabs>
          <w:tab w:val="left" w:pos="540"/>
        </w:tabs>
        <w:adjustRightInd w:val="0"/>
        <w:snapToGrid w:val="0"/>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asciiTheme="minorEastAsia" w:hAnsiTheme="minorEastAsia" w:eastAsiaTheme="minorEastAsia" w:cstheme="minorEastAsia"/>
          <w:szCs w:val="21"/>
        </w:rPr>
      </w:pPr>
    </w:p>
    <w:p>
      <w:pPr>
        <w:adjustRightInd w:val="0"/>
        <w:snapToGrid w:val="0"/>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80" w:name="_Toc362935521"/>
      <w:bookmarkStart w:id="181" w:name="_Toc432149013"/>
      <w:bookmarkStart w:id="182" w:name="_Toc28283"/>
      <w:bookmarkStart w:id="183" w:name="_Toc479184134"/>
      <w:bookmarkStart w:id="184" w:name="_Toc32060"/>
      <w:bookmarkStart w:id="185" w:name="_Toc21520"/>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bCs/>
          <w:szCs w:val="21"/>
        </w:rPr>
        <w:t>类似业绩一览表</w:t>
      </w:r>
      <w:bookmarkEnd w:id="180"/>
      <w:bookmarkEnd w:id="181"/>
      <w:bookmarkEnd w:id="182"/>
      <w:bookmarkEnd w:id="183"/>
      <w:bookmarkEnd w:id="184"/>
      <w:r>
        <w:rPr>
          <w:rFonts w:hint="eastAsia" w:asciiTheme="minorEastAsia" w:hAnsiTheme="minorEastAsia" w:eastAsiaTheme="minorEastAsia" w:cstheme="minorEastAsia"/>
          <w:b/>
          <w:bCs/>
          <w:szCs w:val="21"/>
        </w:rPr>
        <w:br w:type="textWrapping"/>
      </w:r>
      <w:bookmarkEnd w:id="185"/>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项目编号：</w:t>
      </w:r>
    </w:p>
    <w:tbl>
      <w:tblPr>
        <w:tblStyle w:val="26"/>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22"/>
        <w:gridCol w:w="824"/>
        <w:gridCol w:w="1237"/>
        <w:gridCol w:w="971"/>
        <w:gridCol w:w="912"/>
        <w:gridCol w:w="1345"/>
        <w:gridCol w:w="119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87"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序号</w:t>
            </w:r>
          </w:p>
        </w:tc>
        <w:tc>
          <w:tcPr>
            <w:tcW w:w="1422"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824"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1237"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971"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912"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1345"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192"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中标公告网页链接（如有）</w:t>
            </w:r>
          </w:p>
        </w:tc>
        <w:tc>
          <w:tcPr>
            <w:tcW w:w="646"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42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1.附磋商供应商承担类似项目的情况填入本表中，提供业绩合同等评分标准要求的相关证明材料。 无证明材料的内容评审时将不予考虑。</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2.公开竞标成交的类似业绩，还应提供成交/中标公告网页链接。</w:t>
      </w:r>
    </w:p>
    <w:p>
      <w:pPr>
        <w:spacing w:line="360" w:lineRule="auto"/>
        <w:rPr>
          <w:rFonts w:asciiTheme="minorEastAsia" w:hAnsiTheme="minorEastAsia" w:eastAsiaTheme="minorEastAsia" w:cstheme="minorEastAsia"/>
          <w:szCs w:val="21"/>
        </w:rPr>
      </w:pPr>
      <w:bookmarkStart w:id="186" w:name="_Toc460258118"/>
      <w:bookmarkStart w:id="187" w:name="_Toc454806053"/>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88" w:name="_Toc30455"/>
      <w:bookmarkStart w:id="189" w:name="_Toc4834"/>
      <w:bookmarkStart w:id="190" w:name="_Toc479184135"/>
      <w:bookmarkStart w:id="191" w:name="_Toc4527"/>
      <w:r>
        <w:rPr>
          <w:rFonts w:hint="eastAsia" w:asciiTheme="minorEastAsia" w:hAnsiTheme="minorEastAsia" w:eastAsiaTheme="minorEastAsia" w:cstheme="minorEastAsia"/>
          <w:b/>
          <w:bCs/>
          <w:szCs w:val="21"/>
        </w:rPr>
        <w:t>十一、拟投入项目组人员一览表</w:t>
      </w:r>
      <w:bookmarkEnd w:id="186"/>
      <w:bookmarkEnd w:id="187"/>
      <w:bookmarkEnd w:id="188"/>
      <w:bookmarkEnd w:id="189"/>
      <w:bookmarkEnd w:id="190"/>
      <w:bookmarkEnd w:id="191"/>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1" w:leftChars="-86" w:firstLine="180" w:firstLineChars="8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在本项目中担当职位</w:t>
            </w: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w:t>
            </w: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说明：附拟投入项目组人员身份证、劳动合同、社保证明、</w:t>
      </w:r>
      <w:r>
        <w:rPr>
          <w:rFonts w:hint="eastAsia"/>
        </w:rPr>
        <w:t>职称证书、学历证书</w:t>
      </w:r>
      <w:r>
        <w:rPr>
          <w:rFonts w:hint="eastAsia" w:asciiTheme="minorEastAsia" w:hAnsiTheme="minorEastAsia" w:eastAsiaTheme="minorEastAsia" w:cstheme="minorEastAsia"/>
          <w:szCs w:val="21"/>
        </w:rPr>
        <w:t>等评分标准要求的其他相关证明材料。无证明材料的内容评审时将不予考虑。</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2" w:name="_Toc32413"/>
      <w:bookmarkStart w:id="193" w:name="_Toc26838"/>
      <w:bookmarkStart w:id="194" w:name="_Toc479184136"/>
      <w:bookmarkStart w:id="195" w:name="_Toc422466737"/>
      <w:bookmarkStart w:id="196" w:name="_Toc10429"/>
      <w:bookmarkStart w:id="197" w:name="_Toc432149014"/>
      <w:r>
        <w:rPr>
          <w:rFonts w:hint="eastAsia" w:asciiTheme="minorEastAsia" w:hAnsiTheme="minorEastAsia" w:eastAsiaTheme="minorEastAsia" w:cstheme="minorEastAsia"/>
          <w:b/>
          <w:bCs/>
          <w:kern w:val="0"/>
          <w:szCs w:val="21"/>
        </w:rPr>
        <w:t>十二、</w:t>
      </w:r>
      <w:r>
        <w:rPr>
          <w:rFonts w:hint="eastAsia" w:asciiTheme="minorEastAsia" w:hAnsiTheme="minorEastAsia" w:eastAsiaTheme="minorEastAsia" w:cstheme="minorEastAsia"/>
          <w:b/>
          <w:bCs/>
          <w:szCs w:val="21"/>
        </w:rPr>
        <w:t>供应商的资格声明</w:t>
      </w:r>
      <w:bookmarkEnd w:id="192"/>
      <w:bookmarkEnd w:id="193"/>
      <w:bookmarkEnd w:id="194"/>
      <w:bookmarkEnd w:id="195"/>
      <w:bookmarkEnd w:id="196"/>
      <w:bookmarkEnd w:id="197"/>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净值：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asciiTheme="minorEastAsia" w:hAnsiTheme="minorEastAsia" w:eastAsiaTheme="minorEastAsia" w:cstheme="minorEastAsia"/>
                <w:szCs w:val="21"/>
              </w:rPr>
            </w:pPr>
          </w:p>
        </w:tc>
        <w:tc>
          <w:tcPr>
            <w:tcW w:w="1737" w:type="dxa"/>
            <w:vAlign w:val="center"/>
          </w:tcPr>
          <w:p>
            <w:pPr>
              <w:spacing w:line="360" w:lineRule="auto"/>
              <w:jc w:val="center"/>
              <w:rPr>
                <w:rFonts w:asciiTheme="minorEastAsia" w:hAnsiTheme="minorEastAsia" w:eastAsiaTheme="minorEastAsia" w:cstheme="minorEastAsia"/>
                <w:szCs w:val="21"/>
              </w:rPr>
            </w:pPr>
          </w:p>
        </w:tc>
        <w:tc>
          <w:tcPr>
            <w:tcW w:w="2269" w:type="dxa"/>
            <w:vAlign w:val="center"/>
          </w:tcPr>
          <w:p>
            <w:pPr>
              <w:spacing w:line="360" w:lineRule="auto"/>
              <w:jc w:val="center"/>
              <w:rPr>
                <w:rFonts w:asciiTheme="minorEastAsia" w:hAnsiTheme="minorEastAsia" w:eastAsiaTheme="minorEastAsia" w:cstheme="minorEastAsia"/>
                <w:szCs w:val="21"/>
              </w:rPr>
            </w:pPr>
          </w:p>
        </w:tc>
        <w:tc>
          <w:tcPr>
            <w:tcW w:w="2268" w:type="dxa"/>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asciiTheme="minorEastAsia" w:hAnsiTheme="minorEastAsia" w:eastAsiaTheme="minorEastAsia" w:cstheme="minorEastAsia"/>
                <w:szCs w:val="21"/>
              </w:rPr>
            </w:pPr>
          </w:p>
        </w:tc>
        <w:tc>
          <w:tcPr>
            <w:tcW w:w="1737" w:type="dxa"/>
            <w:vAlign w:val="center"/>
          </w:tcPr>
          <w:p>
            <w:pPr>
              <w:spacing w:line="360" w:lineRule="auto"/>
              <w:jc w:val="center"/>
              <w:rPr>
                <w:rFonts w:asciiTheme="minorEastAsia" w:hAnsiTheme="minorEastAsia" w:eastAsiaTheme="minorEastAsia" w:cstheme="minorEastAsia"/>
                <w:szCs w:val="21"/>
              </w:rPr>
            </w:pPr>
          </w:p>
        </w:tc>
        <w:tc>
          <w:tcPr>
            <w:tcW w:w="2269" w:type="dxa"/>
            <w:vAlign w:val="center"/>
          </w:tcPr>
          <w:p>
            <w:pPr>
              <w:spacing w:line="360" w:lineRule="auto"/>
              <w:jc w:val="center"/>
              <w:rPr>
                <w:rFonts w:asciiTheme="minorEastAsia" w:hAnsiTheme="minorEastAsia" w:eastAsiaTheme="minorEastAsia" w:cstheme="minorEastAsia"/>
                <w:szCs w:val="21"/>
              </w:rPr>
            </w:pPr>
          </w:p>
        </w:tc>
        <w:tc>
          <w:tcPr>
            <w:tcW w:w="2268" w:type="dxa"/>
            <w:vAlign w:val="center"/>
          </w:tcPr>
          <w:p>
            <w:pPr>
              <w:spacing w:line="360" w:lineRule="auto"/>
              <w:jc w:val="center"/>
              <w:rPr>
                <w:rFonts w:asciiTheme="minorEastAsia" w:hAnsiTheme="minorEastAsia" w:eastAsiaTheme="minorEastAsia" w:cstheme="minorEastAsia"/>
                <w:szCs w:val="21"/>
              </w:rPr>
            </w:pP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8" w:name="_Toc259028731"/>
      <w:bookmarkStart w:id="199" w:name="_Toc17331"/>
      <w:bookmarkStart w:id="200" w:name="_Toc479184137"/>
      <w:bookmarkStart w:id="201" w:name="_Toc14244"/>
      <w:bookmarkStart w:id="202" w:name="_Toc450827823"/>
      <w:bookmarkStart w:id="203" w:name="_Toc17527"/>
      <w:r>
        <w:rPr>
          <w:rFonts w:hint="eastAsia" w:asciiTheme="minorEastAsia" w:hAnsiTheme="minorEastAsia" w:eastAsiaTheme="minorEastAsia" w:cstheme="minorEastAsia"/>
          <w:b/>
          <w:bCs/>
          <w:kern w:val="0"/>
          <w:szCs w:val="21"/>
        </w:rPr>
        <w:t>十三、</w:t>
      </w:r>
      <w:r>
        <w:rPr>
          <w:rFonts w:hint="eastAsia" w:asciiTheme="minorEastAsia" w:hAnsiTheme="minorEastAsia" w:eastAsiaTheme="minorEastAsia" w:cstheme="minorEastAsia"/>
          <w:b/>
          <w:bCs/>
          <w:szCs w:val="21"/>
        </w:rPr>
        <w:t>资格证明文件</w:t>
      </w:r>
      <w:bookmarkEnd w:id="198"/>
      <w:bookmarkEnd w:id="199"/>
      <w:bookmarkEnd w:id="200"/>
      <w:bookmarkEnd w:id="201"/>
      <w:bookmarkEnd w:id="202"/>
      <w:bookmarkEnd w:id="203"/>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提供第一章第二款资格要求的资格证明文件的真彩扫描件。</w:t>
      </w:r>
    </w:p>
    <w:p>
      <w:pPr>
        <w:rPr>
          <w:rFonts w:asciiTheme="minorEastAsia" w:hAnsiTheme="minorEastAsia" w:eastAsiaTheme="minorEastAsia" w:cstheme="minorEastAsia"/>
          <w:szCs w:val="21"/>
        </w:rPr>
      </w:pPr>
    </w:p>
    <w:p>
      <w:pPr>
        <w:adjustRightInd w:val="0"/>
        <w:snapToGrid w:val="0"/>
        <w:spacing w:line="360" w:lineRule="auto"/>
        <w:ind w:left="-88" w:leftChars="-42"/>
        <w:jc w:val="center"/>
        <w:rPr>
          <w:rFonts w:asciiTheme="minorEastAsia" w:hAnsiTheme="minorEastAsia" w:eastAsiaTheme="minorEastAsia" w:cstheme="minorEastAsia"/>
          <w:szCs w:val="21"/>
        </w:rPr>
      </w:pPr>
    </w:p>
    <w:p>
      <w:pPr>
        <w:spacing w:line="360" w:lineRule="auto"/>
        <w:ind w:left="168" w:leftChars="8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p>
    <w:p>
      <w:pPr>
        <w:spacing w:line="360" w:lineRule="auto"/>
        <w:ind w:left="168" w:leftChars="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bookmarkStart w:id="204" w:name="_Toc18555"/>
      <w:bookmarkStart w:id="205" w:name="_Toc364868916"/>
      <w:bookmarkStart w:id="206" w:name="_Toc32187"/>
      <w:bookmarkStart w:id="207" w:name="_Toc5793"/>
      <w:bookmarkStart w:id="208" w:name="_Toc358447587"/>
      <w:bookmarkStart w:id="209" w:name="_Toc290207179"/>
      <w:bookmarkStart w:id="210" w:name="_Toc427239751"/>
      <w:r>
        <w:rPr>
          <w:rFonts w:hint="eastAsia" w:asciiTheme="minorEastAsia" w:hAnsiTheme="minorEastAsia" w:eastAsiaTheme="minorEastAsia" w:cstheme="minorEastAsia"/>
          <w:b/>
          <w:bCs/>
          <w:kern w:val="0"/>
          <w:szCs w:val="21"/>
        </w:rPr>
        <w:t>十四、</w:t>
      </w:r>
      <w:bookmarkEnd w:id="204"/>
      <w:bookmarkEnd w:id="205"/>
      <w:bookmarkEnd w:id="206"/>
      <w:bookmarkEnd w:id="207"/>
      <w:bookmarkEnd w:id="208"/>
      <w:bookmarkEnd w:id="209"/>
      <w:bookmarkEnd w:id="210"/>
      <w:bookmarkStart w:id="211" w:name="_Toc27229"/>
      <w:bookmarkStart w:id="212" w:name="_Toc460258123"/>
      <w:bookmarkStart w:id="213" w:name="_Toc479184138"/>
      <w:bookmarkStart w:id="214" w:name="_Toc29785"/>
      <w:r>
        <w:rPr>
          <w:rFonts w:hint="eastAsia" w:asciiTheme="minorEastAsia" w:hAnsiTheme="minorEastAsia" w:eastAsiaTheme="minorEastAsia" w:cstheme="minorEastAsia"/>
          <w:b/>
        </w:rPr>
        <w:t>报价技术文件</w:t>
      </w:r>
      <w:bookmarkEnd w:id="211"/>
      <w:bookmarkEnd w:id="212"/>
      <w:bookmarkEnd w:id="213"/>
      <w:bookmarkEnd w:id="214"/>
    </w:p>
    <w:p>
      <w:pPr>
        <w:rPr>
          <w:rFonts w:asciiTheme="minorEastAsia" w:hAnsiTheme="minorEastAsia" w:eastAsiaTheme="minorEastAsia" w:cstheme="minorEastAsia"/>
          <w:szCs w:val="21"/>
        </w:rPr>
      </w:pPr>
    </w:p>
    <w:p>
      <w:pPr>
        <w:pStyle w:val="97"/>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以下内容仅供参考，格式自拟。</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15" w:name="_Toc479184140"/>
      <w:bookmarkStart w:id="216" w:name="_Toc422466739"/>
      <w:bookmarkStart w:id="217" w:name="_Toc356836516"/>
      <w:bookmarkStart w:id="218" w:name="_Toc432149016"/>
      <w:bookmarkStart w:id="219" w:name="_Toc12119"/>
      <w:bookmarkStart w:id="220" w:name="_Toc8098"/>
      <w:bookmarkStart w:id="221" w:name="_Toc2101"/>
      <w:bookmarkStart w:id="222" w:name="_Toc355802499"/>
      <w:bookmarkStart w:id="223" w:name="_Toc22465"/>
      <w:bookmarkStart w:id="224" w:name="_Toc31117"/>
      <w:r>
        <w:rPr>
          <w:rFonts w:hint="eastAsia" w:asciiTheme="minorEastAsia" w:hAnsiTheme="minorEastAsia" w:eastAsiaTheme="minorEastAsia" w:cstheme="minorEastAsia"/>
          <w:b/>
        </w:rPr>
        <w:t>十五、中小企业声明函</w:t>
      </w:r>
      <w:bookmarkEnd w:id="215"/>
      <w:bookmarkEnd w:id="216"/>
      <w:bookmarkEnd w:id="217"/>
      <w:bookmarkEnd w:id="218"/>
      <w:bookmarkEnd w:id="219"/>
      <w:bookmarkEnd w:id="220"/>
      <w:bookmarkEnd w:id="221"/>
      <w:bookmarkEnd w:id="222"/>
      <w:bookmarkEnd w:id="223"/>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24"/>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25" w:name="OLE_LINK5"/>
      <w:r>
        <w:rPr>
          <w:rFonts w:hint="eastAsia" w:asciiTheme="minorEastAsia" w:hAnsiTheme="minorEastAsia" w:eastAsiaTheme="minorEastAsia" w:cstheme="minorEastAsia"/>
          <w:spacing w:val="6"/>
          <w:szCs w:val="21"/>
        </w:rPr>
        <w:t>______（请填写：中型、小型、微型）企业</w:t>
      </w:r>
      <w:bookmarkEnd w:id="225"/>
      <w:r>
        <w:rPr>
          <w:rFonts w:hint="eastAsia" w:asciiTheme="minorEastAsia" w:hAnsiTheme="minorEastAsia" w:eastAsiaTheme="minorEastAsia" w:cstheme="minorEastAsia"/>
          <w:spacing w:val="6"/>
          <w:szCs w:val="21"/>
        </w:rPr>
        <w:t>。即，本公司同时满足以下条件：</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numPr>
          <w:ilvl w:val="0"/>
          <w:numId w:val="45"/>
        </w:numPr>
        <w:spacing w:line="360" w:lineRule="auto"/>
        <w:ind w:firstLine="446" w:firstLineChars="200"/>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提供供应商企业规模、年产值、员工数量及制造商企业规模、年产值、员工数量等数据资料。</w:t>
      </w:r>
    </w:p>
    <w:p>
      <w:pPr>
        <w:numPr>
          <w:ilvl w:val="0"/>
          <w:numId w:val="45"/>
        </w:numPr>
        <w:spacing w:line="360" w:lineRule="auto"/>
        <w:ind w:firstLine="446" w:firstLineChars="200"/>
      </w:pPr>
      <w:r>
        <w:rPr>
          <w:rFonts w:hint="eastAsia" w:asciiTheme="minorEastAsia" w:hAnsiTheme="minorEastAsia" w:eastAsiaTheme="minorEastAsia" w:cstheme="minorEastAsia"/>
          <w:b/>
          <w:bCs/>
          <w:spacing w:val="6"/>
          <w:szCs w:val="21"/>
        </w:rPr>
        <w:t>供应商非所投货物制造商的，还应当提供货物制造商的中小企业声明函，否则在评审时不予考虑。</w:t>
      </w:r>
    </w:p>
    <w:p>
      <w:pPr>
        <w:spacing w:line="360" w:lineRule="auto"/>
        <w:ind w:firstLine="44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备注：未提供证明材料或材料不全的不予折扣。</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44" w:firstLineChars="200"/>
        <w:rPr>
          <w:rFonts w:asciiTheme="minorEastAsia" w:hAnsiTheme="minorEastAsia" w:eastAsiaTheme="minorEastAsia" w:cstheme="minorEastAsia"/>
          <w:spacing w:val="6"/>
          <w:szCs w:val="21"/>
        </w:rPr>
      </w:pPr>
    </w:p>
    <w:p>
      <w:pPr>
        <w:autoSpaceDE w:val="0"/>
        <w:autoSpaceDN w:val="0"/>
        <w:adjustRightInd w:val="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 xml:space="preserve">              </w:t>
      </w:r>
    </w:p>
    <w:bookmarkEnd w:id="127"/>
    <w:bookmarkEnd w:id="128"/>
    <w:bookmarkEnd w:id="129"/>
    <w:bookmarkEnd w:id="130"/>
    <w:p>
      <w:pPr>
        <w:adjustRightInd w:val="0"/>
        <w:snapToGrid w:val="0"/>
        <w:jc w:val="center"/>
        <w:outlineLvl w:val="1"/>
        <w:rPr>
          <w:rFonts w:asciiTheme="minorEastAsia" w:hAnsiTheme="minorEastAsia" w:eastAsiaTheme="minorEastAsia" w:cstheme="minorEastAsia"/>
          <w:b/>
        </w:rPr>
      </w:pPr>
      <w:r>
        <w:rPr>
          <w:rFonts w:hint="eastAsia" w:asciiTheme="minorEastAsia" w:hAnsiTheme="minorEastAsia" w:eastAsiaTheme="minorEastAsia" w:cstheme="minorEastAsia"/>
          <w:spacing w:val="6"/>
          <w:szCs w:val="21"/>
        </w:rPr>
        <w:br w:type="page"/>
      </w:r>
      <w:bookmarkStart w:id="226" w:name="_Toc26502"/>
      <w:bookmarkStart w:id="227" w:name="_Toc479184141"/>
      <w:bookmarkStart w:id="228" w:name="_Toc30406"/>
      <w:bookmarkStart w:id="229" w:name="_Toc7229"/>
      <w:bookmarkStart w:id="230" w:name="_Toc4320"/>
      <w:bookmarkStart w:id="231" w:name="_Toc476839034"/>
      <w:r>
        <w:rPr>
          <w:rFonts w:hint="eastAsia" w:asciiTheme="minorEastAsia" w:hAnsiTheme="minorEastAsia" w:eastAsiaTheme="minorEastAsia" w:cstheme="minorEastAsia"/>
          <w:b/>
          <w:bCs/>
          <w:spacing w:val="6"/>
          <w:szCs w:val="21"/>
        </w:rPr>
        <w:t>十六、</w:t>
      </w:r>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26"/>
    </w:p>
    <w:p>
      <w:pPr>
        <w:adjustRightInd w:val="0"/>
        <w:snapToGrid w:val="0"/>
        <w:jc w:val="center"/>
        <w:rPr>
          <w:rFonts w:asciiTheme="minorEastAsia" w:hAnsiTheme="minorEastAsia" w:eastAsiaTheme="minorEastAsia" w:cstheme="minorEastAsia"/>
          <w:spacing w:val="6"/>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adjustRightInd w:val="0"/>
        <w:snapToGrid w:val="0"/>
        <w:rPr>
          <w:rFonts w:asciiTheme="minorEastAsia" w:hAnsiTheme="minorEastAsia" w:eastAsiaTheme="minorEastAsia" w:cstheme="minorEastAsia"/>
          <w:spacing w:val="6"/>
          <w:szCs w:val="21"/>
        </w:rPr>
      </w:pPr>
    </w:p>
    <w:p>
      <w:pPr>
        <w:adjustRightInd w:val="0"/>
        <w:snapToGrid w:val="0"/>
        <w:rPr>
          <w:rFonts w:asciiTheme="minorEastAsia" w:hAnsiTheme="minorEastAsia" w:eastAsiaTheme="minorEastAsia" w:cstheme="minorEastAsia"/>
          <w:spacing w:val="6"/>
          <w:szCs w:val="21"/>
        </w:rPr>
      </w:pPr>
    </w:p>
    <w:p>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pPr>
        <w:adjustRightInd w:val="0"/>
        <w:snapToGrid w:val="0"/>
        <w:jc w:val="center"/>
        <w:outlineLvl w:val="1"/>
        <w:rPr>
          <w:rFonts w:asciiTheme="minorEastAsia" w:hAnsiTheme="minorEastAsia" w:eastAsiaTheme="minorEastAsia" w:cstheme="minorEastAsia"/>
          <w:b/>
          <w:lang w:val="zh-CN"/>
        </w:rPr>
      </w:pPr>
      <w:bookmarkStart w:id="232" w:name="_Toc21103"/>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b/>
        </w:rPr>
        <w:t>十七、</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32"/>
    </w:p>
    <w:p>
      <w:pPr>
        <w:pStyle w:val="14"/>
        <w:spacing w:line="360" w:lineRule="auto"/>
        <w:ind w:firstLine="415" w:firstLineChars="198"/>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15" w:firstLineChars="198"/>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（供应商）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rPr>
        <w:t xml:space="preserve">     （采购人）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本单位对上述声明的真实性负责。如有虚假，将依法承担相应责任。</w:t>
      </w:r>
    </w:p>
    <w:p>
      <w:pPr>
        <w:pStyle w:val="14"/>
        <w:spacing w:line="360" w:lineRule="auto"/>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1、供应商所投货物为自己制造的，也应按本声明函格式填写。</w:t>
      </w:r>
    </w:p>
    <w:p>
      <w:pPr>
        <w:pStyle w:val="14"/>
        <w:spacing w:line="360" w:lineRule="auto"/>
        <w:ind w:left="1033" w:leftChars="342" w:hanging="315" w:hangingChars="150"/>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4"/>
        <w:spacing w:line="360" w:lineRule="auto"/>
        <w:ind w:left="1033" w:leftChars="342" w:hanging="315" w:hangingChars="1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制造商（</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制造商法定代表人（签字）：</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磋商供应商法定代表人（签字）：</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磋商供应商授权代表（签字）：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磋商供应商名称（</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 xml:space="preserve">）：                                     </w:t>
      </w:r>
    </w:p>
    <w:p>
      <w:p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时                 间：           年          月          日</w:t>
      </w:r>
    </w:p>
    <w:p>
      <w:p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br w:type="textWrapping"/>
      </w:r>
      <w:r>
        <w:rPr>
          <w:rFonts w:hint="eastAsia" w:asciiTheme="minorEastAsia" w:hAnsiTheme="minorEastAsia" w:eastAsiaTheme="minorEastAsia" w:cstheme="minorEastAsia"/>
          <w:szCs w:val="21"/>
          <w:lang w:val="zh-CN"/>
        </w:rPr>
        <w:t>备注：享受政府采购支持政策的残疾人福利性单位应当同时满足以下条件：</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安置的残疾人占本单位在职职工人数的比例不低于 25%（含 25%），并且安置的残疾人人数不少于 10 人（含 10 人）；</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依法与安置的每位残疾人签订了一年以上（含一年）的劳动合同或服务协议；</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为安置的每位残疾人按月足额缴纳了基本养老保险、基本医疗保险、失业保险、工伤保险和生育保险等社会保险费；</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通过银行等金融机构向安置的每位残疾人，按月支付了不低于单位所在区县适用的经省级人民政府批准的月最低工资标准的工资；</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spacing w:before="100" w:beforeAutospacing="1" w:after="100" w:afterAutospacing="1" w:line="360" w:lineRule="auto"/>
        <w:jc w:val="center"/>
        <w:outlineLvl w:val="1"/>
        <w:rPr>
          <w:rFonts w:asciiTheme="minorEastAsia" w:hAnsiTheme="minorEastAsia" w:eastAsiaTheme="minorEastAsia" w:cstheme="minorEastAsia"/>
          <w:bCs/>
          <w:szCs w:val="21"/>
          <w:u w:val="single"/>
        </w:rPr>
      </w:pPr>
      <w:bookmarkStart w:id="233" w:name="_Toc17250"/>
      <w:r>
        <w:rPr>
          <w:rFonts w:hint="eastAsia" w:asciiTheme="minorEastAsia" w:hAnsiTheme="minorEastAsia" w:eastAsiaTheme="minorEastAsia" w:cstheme="minorEastAsia"/>
          <w:b/>
        </w:rPr>
        <w:t>十八、节能环保产品证明材料（若符合）</w:t>
      </w:r>
      <w:bookmarkEnd w:id="233"/>
    </w:p>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spacing w:before="100" w:beforeAutospacing="1" w:after="100" w:afterAutospacing="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（1）节能产品：</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w:t>
            </w: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单价（万元）</w:t>
            </w: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总价（万元）</w:t>
            </w: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before="100" w:beforeAutospacing="1" w:after="100" w:afterAutospacing="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（2）环保产品：</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w:t>
            </w: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单价（万元）</w:t>
            </w: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before="100" w:beforeAutospacing="1" w:after="100" w:afterAutospacing="1" w:line="360" w:lineRule="auto"/>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注：供应商所提供产品如为节能环保产品，则应按本磋商文件第四章“政策支持”提供相关证明材料，并将节能、环保产品分别列入上表中，未填写本表或未提供有效认证证书的不给予价格扣除。</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磋商供应商授权代表（签字）：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磋商供应商名称（</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 xml:space="preserve">）：                                     </w:t>
      </w:r>
    </w:p>
    <w:p>
      <w:pPr>
        <w:spacing w:before="100" w:beforeAutospacing="1" w:after="100" w:afterAutospacing="1" w:line="360" w:lineRule="auto"/>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lang w:val="zh-CN"/>
        </w:rPr>
        <w:t>时                 间：           年          月          日</w:t>
      </w:r>
      <w:r>
        <w:rPr>
          <w:rFonts w:hint="eastAsia" w:asciiTheme="minorEastAsia" w:hAnsiTheme="minorEastAsia" w:eastAsiaTheme="minorEastAsia" w:cstheme="minorEastAsia"/>
          <w:szCs w:val="21"/>
        </w:rPr>
        <w:t xml:space="preserve"> </w:t>
      </w:r>
    </w:p>
    <w:p>
      <w:pPr>
        <w:spacing w:before="100" w:beforeAutospacing="1" w:after="100" w:afterAutospacing="1"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u w:val="single"/>
        </w:rPr>
        <w:br w:type="textWrapping"/>
      </w:r>
    </w:p>
    <w:p>
      <w:pPr>
        <w:adjustRightInd w:val="0"/>
        <w:snapToGrid w:val="0"/>
        <w:spacing w:line="360" w:lineRule="auto"/>
        <w:jc w:val="center"/>
        <w:outlineLvl w:val="1"/>
        <w:rPr>
          <w:rFonts w:asciiTheme="minorEastAsia" w:hAnsiTheme="minorEastAsia" w:eastAsiaTheme="minorEastAsia" w:cstheme="minorEastAsia"/>
          <w:b/>
        </w:rPr>
      </w:pPr>
      <w:bookmarkStart w:id="234" w:name="_Toc10995"/>
      <w:r>
        <w:rPr>
          <w:rFonts w:hint="eastAsia" w:asciiTheme="minorEastAsia" w:hAnsiTheme="minorEastAsia" w:eastAsiaTheme="minorEastAsia" w:cstheme="minorEastAsia"/>
          <w:b/>
          <w:bCs/>
          <w:spacing w:val="6"/>
          <w:szCs w:val="21"/>
        </w:rPr>
        <w:t>十九、</w:t>
      </w:r>
      <w:r>
        <w:rPr>
          <w:rFonts w:hint="eastAsia" w:asciiTheme="minorEastAsia" w:hAnsiTheme="minorEastAsia" w:eastAsiaTheme="minorEastAsia" w:cstheme="minorEastAsia"/>
          <w:b/>
        </w:rPr>
        <w:t>无重大违法记录声明</w:t>
      </w:r>
      <w:bookmarkEnd w:id="227"/>
      <w:bookmarkEnd w:id="228"/>
      <w:bookmarkEnd w:id="229"/>
      <w:bookmarkEnd w:id="230"/>
      <w:bookmarkEnd w:id="231"/>
      <w:bookmarkEnd w:id="234"/>
    </w:p>
    <w:p>
      <w:pPr>
        <w:spacing w:line="48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（磋商供应商应在此基础上，根据本单位实际情况进行声明）</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采购人和采购代理机构：</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我方在此声明，我方在参加本</w:t>
      </w:r>
      <w:r>
        <w:rPr>
          <w:rFonts w:hint="eastAsia" w:asciiTheme="minorEastAsia" w:hAnsiTheme="minorEastAsia" w:eastAsiaTheme="minorEastAsia" w:cstheme="minorEastAsia"/>
          <w:kern w:val="0"/>
          <w:szCs w:val="21"/>
          <w:shd w:val="clear" w:color="auto" w:fill="FFFFFF"/>
        </w:rPr>
        <w:t>次政府采购活动前三年内，在经营活动中没有以下重大违法记录：</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1.我方因违法经营被追究过刑事责任；</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2.我方因违法经营被责令停产停业、吊销许可证或者执照；</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3.我方因违法经营被处以较大数额罚款等行政处罚。</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特此声明！</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磋商供应商法定代表人（签字）：</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磋商供应商授权代表（签字）：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磋商供应商名称（</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 xml:space="preserve">）：                                     </w:t>
      </w:r>
    </w:p>
    <w:p>
      <w:pPr>
        <w:ind w:firstLine="420"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时                 间：           年          月          日</w:t>
      </w:r>
      <w:r>
        <w:rPr>
          <w:rFonts w:hint="eastAsia" w:asciiTheme="minorEastAsia" w:hAnsiTheme="minorEastAsia" w:eastAsiaTheme="minorEastAsia" w:cstheme="minorEastAsia"/>
          <w:szCs w:val="21"/>
        </w:rPr>
        <w:t xml:space="preserve"> </w:t>
      </w:r>
    </w:p>
    <w:p>
      <w:pPr>
        <w:ind w:firstLine="420" w:firstLineChars="200"/>
        <w:jc w:val="center"/>
        <w:outlineLvl w:val="1"/>
        <w:rPr>
          <w:rFonts w:asciiTheme="minorEastAsia" w:hAnsiTheme="minorEastAsia" w:eastAsiaTheme="minorEastAsia" w:cstheme="minorEastAsia"/>
          <w:spacing w:val="6"/>
          <w:szCs w:val="21"/>
        </w:rPr>
      </w:pPr>
      <w:bookmarkStart w:id="235" w:name="_Toc5812"/>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b/>
          <w:bCs/>
          <w:spacing w:val="6"/>
          <w:szCs w:val="21"/>
        </w:rPr>
        <w:t>二十、磋商供应商认为应该提交的其它文件（格式自拟）</w:t>
      </w:r>
      <w:bookmarkEnd w:id="235"/>
    </w:p>
    <w:sectPr>
      <w:footerReference r:id="rId7"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46</w: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8240;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D6AEA1"/>
    <w:multiLevelType w:val="singleLevel"/>
    <w:tmpl w:val="BED6AEA1"/>
    <w:lvl w:ilvl="0" w:tentative="0">
      <w:start w:val="7"/>
      <w:numFmt w:val="decimal"/>
      <w:suff w:val="nothing"/>
      <w:lvlText w:val="%1、"/>
      <w:lvlJc w:val="left"/>
    </w:lvl>
  </w:abstractNum>
  <w:abstractNum w:abstractNumId="1">
    <w:nsid w:val="C95EA7B7"/>
    <w:multiLevelType w:val="singleLevel"/>
    <w:tmpl w:val="C95EA7B7"/>
    <w:lvl w:ilvl="0" w:tentative="0">
      <w:start w:val="1"/>
      <w:numFmt w:val="decimal"/>
      <w:suff w:val="nothing"/>
      <w:lvlText w:val="%1、"/>
      <w:lvlJc w:val="left"/>
    </w:lvl>
  </w:abstractNum>
  <w:abstractNum w:abstractNumId="2">
    <w:nsid w:val="FF4B8943"/>
    <w:multiLevelType w:val="singleLevel"/>
    <w:tmpl w:val="FF4B8943"/>
    <w:lvl w:ilvl="0" w:tentative="0">
      <w:start w:val="1"/>
      <w:numFmt w:val="decimal"/>
      <w:suff w:val="nothing"/>
      <w:lvlText w:val="（%1）"/>
      <w:lvlJc w:val="left"/>
    </w:lvl>
  </w:abstractNum>
  <w:abstractNum w:abstractNumId="3">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5">
    <w:nsid w:val="044F5BAD"/>
    <w:multiLevelType w:val="singleLevel"/>
    <w:tmpl w:val="044F5BAD"/>
    <w:lvl w:ilvl="0" w:tentative="0">
      <w:start w:val="1"/>
      <w:numFmt w:val="decimal"/>
      <w:suff w:val="nothing"/>
      <w:lvlText w:val="（%1）"/>
      <w:lvlJc w:val="left"/>
    </w:lvl>
  </w:abstractNum>
  <w:abstractNum w:abstractNumId="6">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15907297"/>
    <w:multiLevelType w:val="multilevel"/>
    <w:tmpl w:val="15907297"/>
    <w:lvl w:ilvl="0" w:tentative="0">
      <w:start w:val="1"/>
      <w:numFmt w:val="decimal"/>
      <w:pStyle w:val="7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1"/>
      <w:lvlText w:val="%1.%2.%3"/>
      <w:lvlJc w:val="left"/>
      <w:pPr>
        <w:tabs>
          <w:tab w:val="left" w:pos="720"/>
        </w:tabs>
        <w:ind w:left="720" w:hanging="153"/>
      </w:pPr>
      <w:rPr>
        <w:rFonts w:hint="eastAsia"/>
      </w:rPr>
    </w:lvl>
    <w:lvl w:ilvl="3" w:tentative="0">
      <w:start w:val="1"/>
      <w:numFmt w:val="decimal"/>
      <w:pStyle w:val="78"/>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1E84619A"/>
    <w:multiLevelType w:val="singleLevel"/>
    <w:tmpl w:val="1E84619A"/>
    <w:lvl w:ilvl="0" w:tentative="0">
      <w:start w:val="1"/>
      <w:numFmt w:val="decimal"/>
      <w:suff w:val="nothing"/>
      <w:lvlText w:val="%1、"/>
      <w:lvlJc w:val="left"/>
    </w:lvl>
  </w:abstractNum>
  <w:abstractNum w:abstractNumId="17">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8">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5"/>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0">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3">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5">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6">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7">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8">
    <w:nsid w:val="4B331C36"/>
    <w:multiLevelType w:val="multilevel"/>
    <w:tmpl w:val="4B331C36"/>
    <w:lvl w:ilvl="0" w:tentative="0">
      <w:start w:val="1"/>
      <w:numFmt w:val="japaneseCounting"/>
      <w:pStyle w:val="90"/>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0">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2">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3">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6">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7">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8">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0"/>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6"/>
      <w:suff w:val="nothing"/>
      <w:lvlText w:val="%1%2.%3　"/>
      <w:lvlJc w:val="left"/>
      <w:pPr>
        <w:ind w:left="720" w:firstLine="0"/>
      </w:pPr>
      <w:rPr>
        <w:rFonts w:hint="eastAsia" w:ascii="黑体" w:hAnsi="Times New Roman" w:eastAsia="黑体"/>
        <w:b w:val="0"/>
        <w:i w:val="0"/>
        <w:sz w:val="21"/>
      </w:rPr>
    </w:lvl>
    <w:lvl w:ilvl="3" w:tentative="0">
      <w:start w:val="1"/>
      <w:numFmt w:val="decimal"/>
      <w:pStyle w:val="75"/>
      <w:suff w:val="nothing"/>
      <w:lvlText w:val="%1%2.4.%4　"/>
      <w:lvlJc w:val="left"/>
      <w:pPr>
        <w:ind w:left="420" w:firstLine="0"/>
      </w:pPr>
      <w:rPr>
        <w:rFonts w:hint="eastAsia" w:ascii="黑体" w:hAnsi="Times New Roman" w:eastAsia="黑体"/>
        <w:b w:val="0"/>
        <w:i w:val="0"/>
        <w:sz w:val="21"/>
      </w:rPr>
    </w:lvl>
    <w:lvl w:ilvl="4" w:tentative="0">
      <w:start w:val="1"/>
      <w:numFmt w:val="decimal"/>
      <w:pStyle w:val="82"/>
      <w:suff w:val="nothing"/>
      <w:lvlText w:val="5.%12.5.%5　"/>
      <w:lvlJc w:val="left"/>
      <w:pPr>
        <w:ind w:left="42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40">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1">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3">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5">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38"/>
  </w:num>
  <w:num w:numId="2">
    <w:abstractNumId w:val="11"/>
  </w:num>
  <w:num w:numId="3">
    <w:abstractNumId w:val="19"/>
  </w:num>
  <w:num w:numId="4">
    <w:abstractNumId w:val="28"/>
  </w:num>
  <w:num w:numId="5">
    <w:abstractNumId w:val="14"/>
  </w:num>
  <w:num w:numId="6">
    <w:abstractNumId w:val="13"/>
  </w:num>
  <w:num w:numId="7">
    <w:abstractNumId w:val="2"/>
  </w:num>
  <w:num w:numId="8">
    <w:abstractNumId w:val="0"/>
  </w:num>
  <w:num w:numId="9">
    <w:abstractNumId w:val="32"/>
  </w:num>
  <w:num w:numId="10">
    <w:abstractNumId w:val="16"/>
  </w:num>
  <w:num w:numId="11">
    <w:abstractNumId w:val="9"/>
  </w:num>
  <w:num w:numId="12">
    <w:abstractNumId w:val="15"/>
  </w:num>
  <w:num w:numId="13">
    <w:abstractNumId w:val="34"/>
  </w:num>
  <w:num w:numId="14">
    <w:abstractNumId w:val="44"/>
  </w:num>
  <w:num w:numId="15">
    <w:abstractNumId w:val="45"/>
  </w:num>
  <w:num w:numId="16">
    <w:abstractNumId w:val="27"/>
  </w:num>
  <w:num w:numId="17">
    <w:abstractNumId w:val="30"/>
  </w:num>
  <w:num w:numId="18">
    <w:abstractNumId w:val="33"/>
  </w:num>
  <w:num w:numId="19">
    <w:abstractNumId w:val="35"/>
  </w:num>
  <w:num w:numId="20">
    <w:abstractNumId w:val="4"/>
  </w:num>
  <w:num w:numId="21">
    <w:abstractNumId w:val="37"/>
  </w:num>
  <w:num w:numId="22">
    <w:abstractNumId w:val="6"/>
  </w:num>
  <w:num w:numId="23">
    <w:abstractNumId w:val="25"/>
  </w:num>
  <w:num w:numId="24">
    <w:abstractNumId w:val="21"/>
  </w:num>
  <w:num w:numId="25">
    <w:abstractNumId w:val="40"/>
  </w:num>
  <w:num w:numId="26">
    <w:abstractNumId w:val="12"/>
  </w:num>
  <w:num w:numId="27">
    <w:abstractNumId w:val="26"/>
  </w:num>
  <w:num w:numId="28">
    <w:abstractNumId w:val="8"/>
  </w:num>
  <w:num w:numId="29">
    <w:abstractNumId w:val="39"/>
  </w:num>
  <w:num w:numId="30">
    <w:abstractNumId w:val="43"/>
  </w:num>
  <w:num w:numId="31">
    <w:abstractNumId w:val="29"/>
  </w:num>
  <w:num w:numId="32">
    <w:abstractNumId w:val="23"/>
  </w:num>
  <w:num w:numId="33">
    <w:abstractNumId w:val="10"/>
  </w:num>
  <w:num w:numId="34">
    <w:abstractNumId w:val="20"/>
  </w:num>
  <w:num w:numId="35">
    <w:abstractNumId w:val="42"/>
  </w:num>
  <w:num w:numId="36">
    <w:abstractNumId w:val="24"/>
  </w:num>
  <w:num w:numId="37">
    <w:abstractNumId w:val="41"/>
  </w:num>
  <w:num w:numId="38">
    <w:abstractNumId w:val="36"/>
  </w:num>
  <w:num w:numId="39">
    <w:abstractNumId w:val="17"/>
  </w:num>
  <w:num w:numId="40">
    <w:abstractNumId w:val="31"/>
  </w:num>
  <w:num w:numId="41">
    <w:abstractNumId w:val="3"/>
  </w:num>
  <w:num w:numId="42">
    <w:abstractNumId w:val="18"/>
  </w:num>
  <w:num w:numId="43">
    <w:abstractNumId w:val="22"/>
  </w:num>
  <w:num w:numId="44">
    <w:abstractNumId w:val="7"/>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B64"/>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3A76"/>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28D"/>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0207"/>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1EC0"/>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5B3C"/>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2AB"/>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4EAC"/>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4E45"/>
    <w:rsid w:val="00D179CB"/>
    <w:rsid w:val="00D25C8B"/>
    <w:rsid w:val="00D26C1D"/>
    <w:rsid w:val="00D27170"/>
    <w:rsid w:val="00D27B3B"/>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8D0205"/>
    <w:rsid w:val="01C12A88"/>
    <w:rsid w:val="01D07706"/>
    <w:rsid w:val="0221271C"/>
    <w:rsid w:val="022D649C"/>
    <w:rsid w:val="02351774"/>
    <w:rsid w:val="023A6ECB"/>
    <w:rsid w:val="02420646"/>
    <w:rsid w:val="028223A8"/>
    <w:rsid w:val="029D4FA6"/>
    <w:rsid w:val="02A9706C"/>
    <w:rsid w:val="02B4577B"/>
    <w:rsid w:val="02DE374B"/>
    <w:rsid w:val="031C10FC"/>
    <w:rsid w:val="031C67BA"/>
    <w:rsid w:val="03511571"/>
    <w:rsid w:val="035E37BC"/>
    <w:rsid w:val="03897ACB"/>
    <w:rsid w:val="03A25185"/>
    <w:rsid w:val="03A92E0C"/>
    <w:rsid w:val="03A93F07"/>
    <w:rsid w:val="03DD17F0"/>
    <w:rsid w:val="03F730D5"/>
    <w:rsid w:val="040E4213"/>
    <w:rsid w:val="04137380"/>
    <w:rsid w:val="04160294"/>
    <w:rsid w:val="0421064D"/>
    <w:rsid w:val="0424709F"/>
    <w:rsid w:val="04273734"/>
    <w:rsid w:val="042C6AE4"/>
    <w:rsid w:val="0439748C"/>
    <w:rsid w:val="04663DEE"/>
    <w:rsid w:val="048B6224"/>
    <w:rsid w:val="049C3EF3"/>
    <w:rsid w:val="04BC1BA0"/>
    <w:rsid w:val="04CC4566"/>
    <w:rsid w:val="04FC6D71"/>
    <w:rsid w:val="04FD23FC"/>
    <w:rsid w:val="05005426"/>
    <w:rsid w:val="055A38B5"/>
    <w:rsid w:val="059C5F8E"/>
    <w:rsid w:val="05AD5736"/>
    <w:rsid w:val="05CA2818"/>
    <w:rsid w:val="05FA06DD"/>
    <w:rsid w:val="06023A8F"/>
    <w:rsid w:val="0611621E"/>
    <w:rsid w:val="063F258E"/>
    <w:rsid w:val="065044F8"/>
    <w:rsid w:val="0653482B"/>
    <w:rsid w:val="06B7286F"/>
    <w:rsid w:val="06C116BD"/>
    <w:rsid w:val="06C767F8"/>
    <w:rsid w:val="06EA2FBD"/>
    <w:rsid w:val="06FE4AAE"/>
    <w:rsid w:val="070157D1"/>
    <w:rsid w:val="07117CDC"/>
    <w:rsid w:val="07354BE2"/>
    <w:rsid w:val="07506DDE"/>
    <w:rsid w:val="078360F1"/>
    <w:rsid w:val="079555F7"/>
    <w:rsid w:val="07AA21A6"/>
    <w:rsid w:val="07B323DD"/>
    <w:rsid w:val="07D33E7D"/>
    <w:rsid w:val="07DA2552"/>
    <w:rsid w:val="07E61182"/>
    <w:rsid w:val="07F876CF"/>
    <w:rsid w:val="07FA3FC0"/>
    <w:rsid w:val="08376BE0"/>
    <w:rsid w:val="08483779"/>
    <w:rsid w:val="085D5FC0"/>
    <w:rsid w:val="0886626A"/>
    <w:rsid w:val="088F5F14"/>
    <w:rsid w:val="08912C45"/>
    <w:rsid w:val="08AD0CF8"/>
    <w:rsid w:val="08AD503B"/>
    <w:rsid w:val="08C76CFD"/>
    <w:rsid w:val="08E340CC"/>
    <w:rsid w:val="08E6221B"/>
    <w:rsid w:val="08E95B0E"/>
    <w:rsid w:val="090C54BE"/>
    <w:rsid w:val="092936B1"/>
    <w:rsid w:val="092B3782"/>
    <w:rsid w:val="096A4BCE"/>
    <w:rsid w:val="098226D8"/>
    <w:rsid w:val="09894939"/>
    <w:rsid w:val="09A02CD8"/>
    <w:rsid w:val="0A165448"/>
    <w:rsid w:val="0A502EA2"/>
    <w:rsid w:val="0A5758F7"/>
    <w:rsid w:val="0A67144A"/>
    <w:rsid w:val="0A71618F"/>
    <w:rsid w:val="0A7E1671"/>
    <w:rsid w:val="0AA37590"/>
    <w:rsid w:val="0AC16F66"/>
    <w:rsid w:val="0B435CD5"/>
    <w:rsid w:val="0B456825"/>
    <w:rsid w:val="0B4B17AC"/>
    <w:rsid w:val="0B4F5787"/>
    <w:rsid w:val="0B625354"/>
    <w:rsid w:val="0B6438A9"/>
    <w:rsid w:val="0BC22757"/>
    <w:rsid w:val="0BD0342B"/>
    <w:rsid w:val="0BE3070D"/>
    <w:rsid w:val="0C367BBD"/>
    <w:rsid w:val="0C3C4113"/>
    <w:rsid w:val="0C4225D4"/>
    <w:rsid w:val="0C49239C"/>
    <w:rsid w:val="0C4E57C8"/>
    <w:rsid w:val="0C7336D0"/>
    <w:rsid w:val="0CC36F40"/>
    <w:rsid w:val="0CF02600"/>
    <w:rsid w:val="0D162766"/>
    <w:rsid w:val="0D50445B"/>
    <w:rsid w:val="0D7807F1"/>
    <w:rsid w:val="0D895A46"/>
    <w:rsid w:val="0D9B67EB"/>
    <w:rsid w:val="0DE86CEC"/>
    <w:rsid w:val="0DF1143A"/>
    <w:rsid w:val="0E0A51BD"/>
    <w:rsid w:val="0E141CA7"/>
    <w:rsid w:val="0E386D2E"/>
    <w:rsid w:val="0E442D5B"/>
    <w:rsid w:val="0E4E7B59"/>
    <w:rsid w:val="0E6E5960"/>
    <w:rsid w:val="0EAE4301"/>
    <w:rsid w:val="0ED27024"/>
    <w:rsid w:val="0ED94F19"/>
    <w:rsid w:val="0EDC5EDB"/>
    <w:rsid w:val="0F1B0DB7"/>
    <w:rsid w:val="0F3425BB"/>
    <w:rsid w:val="0F6C7EA7"/>
    <w:rsid w:val="0FA03F81"/>
    <w:rsid w:val="0FA32A0E"/>
    <w:rsid w:val="0FC5121F"/>
    <w:rsid w:val="0FC52200"/>
    <w:rsid w:val="0FC57219"/>
    <w:rsid w:val="0FF11896"/>
    <w:rsid w:val="0FF743B8"/>
    <w:rsid w:val="1031331D"/>
    <w:rsid w:val="104114BC"/>
    <w:rsid w:val="104F21E7"/>
    <w:rsid w:val="10681B45"/>
    <w:rsid w:val="10D545EB"/>
    <w:rsid w:val="10E51E7E"/>
    <w:rsid w:val="1109548A"/>
    <w:rsid w:val="11156035"/>
    <w:rsid w:val="111F2499"/>
    <w:rsid w:val="11296D36"/>
    <w:rsid w:val="1146103D"/>
    <w:rsid w:val="116C7384"/>
    <w:rsid w:val="11FE0EBD"/>
    <w:rsid w:val="12305D0B"/>
    <w:rsid w:val="12595354"/>
    <w:rsid w:val="12676ACE"/>
    <w:rsid w:val="128C79F5"/>
    <w:rsid w:val="12987FD1"/>
    <w:rsid w:val="12D57C7C"/>
    <w:rsid w:val="12DE2F04"/>
    <w:rsid w:val="12DF59E6"/>
    <w:rsid w:val="12E1444B"/>
    <w:rsid w:val="12F453F7"/>
    <w:rsid w:val="13065331"/>
    <w:rsid w:val="135A65CD"/>
    <w:rsid w:val="13681291"/>
    <w:rsid w:val="139A72A6"/>
    <w:rsid w:val="13D75C16"/>
    <w:rsid w:val="141A71FC"/>
    <w:rsid w:val="14393E39"/>
    <w:rsid w:val="1439492C"/>
    <w:rsid w:val="144E282E"/>
    <w:rsid w:val="14905D77"/>
    <w:rsid w:val="14B231CC"/>
    <w:rsid w:val="14C13D98"/>
    <w:rsid w:val="14C818C6"/>
    <w:rsid w:val="14D17473"/>
    <w:rsid w:val="14D2285A"/>
    <w:rsid w:val="14F848F0"/>
    <w:rsid w:val="1533008F"/>
    <w:rsid w:val="153D3401"/>
    <w:rsid w:val="155142E7"/>
    <w:rsid w:val="15855A36"/>
    <w:rsid w:val="158E06A1"/>
    <w:rsid w:val="15932B1E"/>
    <w:rsid w:val="15AF36C0"/>
    <w:rsid w:val="15EE7CEF"/>
    <w:rsid w:val="160D691C"/>
    <w:rsid w:val="16333435"/>
    <w:rsid w:val="16391530"/>
    <w:rsid w:val="166C136C"/>
    <w:rsid w:val="168238FF"/>
    <w:rsid w:val="168C0198"/>
    <w:rsid w:val="16C6539F"/>
    <w:rsid w:val="16C83962"/>
    <w:rsid w:val="16ED23AA"/>
    <w:rsid w:val="1730286B"/>
    <w:rsid w:val="173E2364"/>
    <w:rsid w:val="1761710C"/>
    <w:rsid w:val="17812612"/>
    <w:rsid w:val="1789592C"/>
    <w:rsid w:val="17933C9F"/>
    <w:rsid w:val="17B13E29"/>
    <w:rsid w:val="17D67A38"/>
    <w:rsid w:val="17DB1463"/>
    <w:rsid w:val="17ED5B45"/>
    <w:rsid w:val="18260DD1"/>
    <w:rsid w:val="182656C2"/>
    <w:rsid w:val="18303541"/>
    <w:rsid w:val="18314A51"/>
    <w:rsid w:val="183735E3"/>
    <w:rsid w:val="18744310"/>
    <w:rsid w:val="18A12DFD"/>
    <w:rsid w:val="18A922F3"/>
    <w:rsid w:val="18B137E8"/>
    <w:rsid w:val="18D46399"/>
    <w:rsid w:val="18F56002"/>
    <w:rsid w:val="192F50C9"/>
    <w:rsid w:val="19633F03"/>
    <w:rsid w:val="199E02FC"/>
    <w:rsid w:val="19BA1CE3"/>
    <w:rsid w:val="19DF55C2"/>
    <w:rsid w:val="1A0C61A8"/>
    <w:rsid w:val="1A132F57"/>
    <w:rsid w:val="1A300E03"/>
    <w:rsid w:val="1A5F760F"/>
    <w:rsid w:val="1A6F3E95"/>
    <w:rsid w:val="1A6F6E85"/>
    <w:rsid w:val="1AB70FFB"/>
    <w:rsid w:val="1AD51B88"/>
    <w:rsid w:val="1B2058A0"/>
    <w:rsid w:val="1B566A66"/>
    <w:rsid w:val="1B8565CF"/>
    <w:rsid w:val="1B9104B0"/>
    <w:rsid w:val="1BAC363D"/>
    <w:rsid w:val="1BD60F79"/>
    <w:rsid w:val="1C0C60A0"/>
    <w:rsid w:val="1C41527E"/>
    <w:rsid w:val="1C49412F"/>
    <w:rsid w:val="1C4F5FC4"/>
    <w:rsid w:val="1C64078D"/>
    <w:rsid w:val="1C81524F"/>
    <w:rsid w:val="1CA121A3"/>
    <w:rsid w:val="1CDF257F"/>
    <w:rsid w:val="1CE40841"/>
    <w:rsid w:val="1CF405AE"/>
    <w:rsid w:val="1CFB22F4"/>
    <w:rsid w:val="1D014450"/>
    <w:rsid w:val="1D251E61"/>
    <w:rsid w:val="1D2A2C86"/>
    <w:rsid w:val="1D2A6659"/>
    <w:rsid w:val="1D41310E"/>
    <w:rsid w:val="1D426DC5"/>
    <w:rsid w:val="1D4377C2"/>
    <w:rsid w:val="1D54682E"/>
    <w:rsid w:val="1D575B51"/>
    <w:rsid w:val="1D9F4A19"/>
    <w:rsid w:val="1DA05599"/>
    <w:rsid w:val="1DAB519B"/>
    <w:rsid w:val="1DC65420"/>
    <w:rsid w:val="1DC94DC3"/>
    <w:rsid w:val="1E0649A4"/>
    <w:rsid w:val="1E1C6424"/>
    <w:rsid w:val="1E316CE9"/>
    <w:rsid w:val="1E474E6F"/>
    <w:rsid w:val="1E4D30A6"/>
    <w:rsid w:val="1E6843C7"/>
    <w:rsid w:val="1EA60FCA"/>
    <w:rsid w:val="1EA87417"/>
    <w:rsid w:val="1ED70A99"/>
    <w:rsid w:val="1F353005"/>
    <w:rsid w:val="1F35766F"/>
    <w:rsid w:val="1F65672E"/>
    <w:rsid w:val="1F6B4880"/>
    <w:rsid w:val="1F6D18D3"/>
    <w:rsid w:val="1F754852"/>
    <w:rsid w:val="1F855EC8"/>
    <w:rsid w:val="1F865B87"/>
    <w:rsid w:val="1F8D0E35"/>
    <w:rsid w:val="1FAD401E"/>
    <w:rsid w:val="1FB611E4"/>
    <w:rsid w:val="1FB96BD9"/>
    <w:rsid w:val="1FBA2E91"/>
    <w:rsid w:val="1FC02D54"/>
    <w:rsid w:val="1FD92D82"/>
    <w:rsid w:val="1FEE1F52"/>
    <w:rsid w:val="201557A0"/>
    <w:rsid w:val="20950348"/>
    <w:rsid w:val="20981E88"/>
    <w:rsid w:val="20A10137"/>
    <w:rsid w:val="20B97750"/>
    <w:rsid w:val="20BD2343"/>
    <w:rsid w:val="20C125E5"/>
    <w:rsid w:val="20F77EBA"/>
    <w:rsid w:val="20FE0571"/>
    <w:rsid w:val="211270D8"/>
    <w:rsid w:val="212F48FD"/>
    <w:rsid w:val="21B23C30"/>
    <w:rsid w:val="21B3716F"/>
    <w:rsid w:val="21D5663A"/>
    <w:rsid w:val="21DE0782"/>
    <w:rsid w:val="220D5F91"/>
    <w:rsid w:val="220F017A"/>
    <w:rsid w:val="223D6488"/>
    <w:rsid w:val="224F423C"/>
    <w:rsid w:val="226B5132"/>
    <w:rsid w:val="227710AB"/>
    <w:rsid w:val="229B4E78"/>
    <w:rsid w:val="22C77F82"/>
    <w:rsid w:val="22E50F21"/>
    <w:rsid w:val="22F562BD"/>
    <w:rsid w:val="231C3AC6"/>
    <w:rsid w:val="23261385"/>
    <w:rsid w:val="233970A1"/>
    <w:rsid w:val="2390118C"/>
    <w:rsid w:val="23A33225"/>
    <w:rsid w:val="23A3458B"/>
    <w:rsid w:val="23A83880"/>
    <w:rsid w:val="23AC3B0D"/>
    <w:rsid w:val="23AE3EA4"/>
    <w:rsid w:val="23BD797B"/>
    <w:rsid w:val="23CC13DF"/>
    <w:rsid w:val="241374BB"/>
    <w:rsid w:val="24210897"/>
    <w:rsid w:val="242E0AC8"/>
    <w:rsid w:val="24474E0A"/>
    <w:rsid w:val="244E4AD0"/>
    <w:rsid w:val="246B4679"/>
    <w:rsid w:val="2474079E"/>
    <w:rsid w:val="249900C5"/>
    <w:rsid w:val="24BF7D42"/>
    <w:rsid w:val="255D2F2A"/>
    <w:rsid w:val="256C5A3D"/>
    <w:rsid w:val="257963F1"/>
    <w:rsid w:val="258401E9"/>
    <w:rsid w:val="25A7402B"/>
    <w:rsid w:val="25FE15DC"/>
    <w:rsid w:val="26806C09"/>
    <w:rsid w:val="26863962"/>
    <w:rsid w:val="269D0C6F"/>
    <w:rsid w:val="26FA6E39"/>
    <w:rsid w:val="271E4603"/>
    <w:rsid w:val="272A0710"/>
    <w:rsid w:val="27555997"/>
    <w:rsid w:val="276E4B45"/>
    <w:rsid w:val="277E0E1B"/>
    <w:rsid w:val="27C13C20"/>
    <w:rsid w:val="27E47883"/>
    <w:rsid w:val="28120519"/>
    <w:rsid w:val="281327C3"/>
    <w:rsid w:val="28195AAE"/>
    <w:rsid w:val="28323569"/>
    <w:rsid w:val="28326E12"/>
    <w:rsid w:val="28504863"/>
    <w:rsid w:val="287013AF"/>
    <w:rsid w:val="28943CBF"/>
    <w:rsid w:val="28E96526"/>
    <w:rsid w:val="28F77A34"/>
    <w:rsid w:val="29213FAC"/>
    <w:rsid w:val="294019F3"/>
    <w:rsid w:val="295F6F3A"/>
    <w:rsid w:val="298168E8"/>
    <w:rsid w:val="29880DC9"/>
    <w:rsid w:val="299658C8"/>
    <w:rsid w:val="29C74336"/>
    <w:rsid w:val="2A0C4705"/>
    <w:rsid w:val="2A104C01"/>
    <w:rsid w:val="2A2219FF"/>
    <w:rsid w:val="2A2649D3"/>
    <w:rsid w:val="2A2F0453"/>
    <w:rsid w:val="2A375CB0"/>
    <w:rsid w:val="2A4F7A8E"/>
    <w:rsid w:val="2A5C693A"/>
    <w:rsid w:val="2A9D1044"/>
    <w:rsid w:val="2AA14EFF"/>
    <w:rsid w:val="2AE42B9F"/>
    <w:rsid w:val="2AFA4FF0"/>
    <w:rsid w:val="2AFF35D3"/>
    <w:rsid w:val="2B0A651F"/>
    <w:rsid w:val="2B132D50"/>
    <w:rsid w:val="2B6076B4"/>
    <w:rsid w:val="2B617D56"/>
    <w:rsid w:val="2B7A1460"/>
    <w:rsid w:val="2BCB0305"/>
    <w:rsid w:val="2BEB27E3"/>
    <w:rsid w:val="2BEB2E9D"/>
    <w:rsid w:val="2BF61207"/>
    <w:rsid w:val="2C2E6F83"/>
    <w:rsid w:val="2C620007"/>
    <w:rsid w:val="2CD367CC"/>
    <w:rsid w:val="2CDD2B9E"/>
    <w:rsid w:val="2D09394F"/>
    <w:rsid w:val="2D6345E9"/>
    <w:rsid w:val="2D7E4209"/>
    <w:rsid w:val="2D9B288E"/>
    <w:rsid w:val="2DBD42B5"/>
    <w:rsid w:val="2DCB5DC1"/>
    <w:rsid w:val="2DCE5309"/>
    <w:rsid w:val="2DE2242A"/>
    <w:rsid w:val="2E4225F7"/>
    <w:rsid w:val="2E463849"/>
    <w:rsid w:val="2E5A5340"/>
    <w:rsid w:val="2E677780"/>
    <w:rsid w:val="2E6E73D5"/>
    <w:rsid w:val="2E81141D"/>
    <w:rsid w:val="2E9A7ADA"/>
    <w:rsid w:val="2EC304B4"/>
    <w:rsid w:val="2EF909BA"/>
    <w:rsid w:val="2F1B0798"/>
    <w:rsid w:val="2F235807"/>
    <w:rsid w:val="2F4F0438"/>
    <w:rsid w:val="2F506BFB"/>
    <w:rsid w:val="2F7E2CC0"/>
    <w:rsid w:val="2F921764"/>
    <w:rsid w:val="2F98405A"/>
    <w:rsid w:val="2FD11EB8"/>
    <w:rsid w:val="303D5772"/>
    <w:rsid w:val="306E40F7"/>
    <w:rsid w:val="30B15581"/>
    <w:rsid w:val="30B93848"/>
    <w:rsid w:val="30BE1DE8"/>
    <w:rsid w:val="31253510"/>
    <w:rsid w:val="313177AD"/>
    <w:rsid w:val="31341EAD"/>
    <w:rsid w:val="31423CC5"/>
    <w:rsid w:val="3157256E"/>
    <w:rsid w:val="31665B97"/>
    <w:rsid w:val="31854B7E"/>
    <w:rsid w:val="31E86EE4"/>
    <w:rsid w:val="31FD6157"/>
    <w:rsid w:val="32171B71"/>
    <w:rsid w:val="322B53E9"/>
    <w:rsid w:val="32915ABA"/>
    <w:rsid w:val="329C1497"/>
    <w:rsid w:val="32D72576"/>
    <w:rsid w:val="32D93319"/>
    <w:rsid w:val="330D0307"/>
    <w:rsid w:val="332C3D97"/>
    <w:rsid w:val="3360351F"/>
    <w:rsid w:val="33620CB2"/>
    <w:rsid w:val="33B17CDB"/>
    <w:rsid w:val="33E04B57"/>
    <w:rsid w:val="33FA7456"/>
    <w:rsid w:val="33FD1240"/>
    <w:rsid w:val="34024883"/>
    <w:rsid w:val="342C6E98"/>
    <w:rsid w:val="343E2F3B"/>
    <w:rsid w:val="344F7140"/>
    <w:rsid w:val="34755DB1"/>
    <w:rsid w:val="349E0FB2"/>
    <w:rsid w:val="34A96A1A"/>
    <w:rsid w:val="34B370D1"/>
    <w:rsid w:val="34CA52FD"/>
    <w:rsid w:val="34E622D6"/>
    <w:rsid w:val="3518700F"/>
    <w:rsid w:val="352F2FF3"/>
    <w:rsid w:val="35375748"/>
    <w:rsid w:val="35486C73"/>
    <w:rsid w:val="359E09BB"/>
    <w:rsid w:val="361A4DE1"/>
    <w:rsid w:val="361F592F"/>
    <w:rsid w:val="362F79EA"/>
    <w:rsid w:val="36516B14"/>
    <w:rsid w:val="36556C85"/>
    <w:rsid w:val="3675230B"/>
    <w:rsid w:val="36766F5C"/>
    <w:rsid w:val="36777C43"/>
    <w:rsid w:val="367E7A3F"/>
    <w:rsid w:val="36C1347A"/>
    <w:rsid w:val="36C31B41"/>
    <w:rsid w:val="36C532A1"/>
    <w:rsid w:val="36CE234D"/>
    <w:rsid w:val="36D347D3"/>
    <w:rsid w:val="36DA50A9"/>
    <w:rsid w:val="3736228A"/>
    <w:rsid w:val="37671725"/>
    <w:rsid w:val="376F122C"/>
    <w:rsid w:val="3798526A"/>
    <w:rsid w:val="37B72EB1"/>
    <w:rsid w:val="37C806F3"/>
    <w:rsid w:val="37C85C3C"/>
    <w:rsid w:val="37CF1603"/>
    <w:rsid w:val="38585500"/>
    <w:rsid w:val="385D1C71"/>
    <w:rsid w:val="388E1434"/>
    <w:rsid w:val="38BA5460"/>
    <w:rsid w:val="38C62FF5"/>
    <w:rsid w:val="38D62476"/>
    <w:rsid w:val="38E27127"/>
    <w:rsid w:val="39027E88"/>
    <w:rsid w:val="39075875"/>
    <w:rsid w:val="391904A1"/>
    <w:rsid w:val="391C718D"/>
    <w:rsid w:val="394D30B0"/>
    <w:rsid w:val="39624091"/>
    <w:rsid w:val="397C6037"/>
    <w:rsid w:val="39D43B66"/>
    <w:rsid w:val="39EC03FA"/>
    <w:rsid w:val="3A1E303B"/>
    <w:rsid w:val="3A1F74C9"/>
    <w:rsid w:val="3A2A1F54"/>
    <w:rsid w:val="3A2D40D1"/>
    <w:rsid w:val="3A314B02"/>
    <w:rsid w:val="3A5C2602"/>
    <w:rsid w:val="3A5E6F34"/>
    <w:rsid w:val="3A79657B"/>
    <w:rsid w:val="3A8B77C7"/>
    <w:rsid w:val="3A9A32EA"/>
    <w:rsid w:val="3ACD391F"/>
    <w:rsid w:val="3B026D00"/>
    <w:rsid w:val="3B1471CB"/>
    <w:rsid w:val="3B655681"/>
    <w:rsid w:val="3B6C4553"/>
    <w:rsid w:val="3B6F3ABC"/>
    <w:rsid w:val="3B7527F4"/>
    <w:rsid w:val="3BAA143A"/>
    <w:rsid w:val="3BC378A6"/>
    <w:rsid w:val="3BDC08FD"/>
    <w:rsid w:val="3BE42ECD"/>
    <w:rsid w:val="3BE86089"/>
    <w:rsid w:val="3BFE1CAB"/>
    <w:rsid w:val="3C10260E"/>
    <w:rsid w:val="3C274A05"/>
    <w:rsid w:val="3C7511AE"/>
    <w:rsid w:val="3CA977D2"/>
    <w:rsid w:val="3CC733AF"/>
    <w:rsid w:val="3CF76813"/>
    <w:rsid w:val="3CFC6063"/>
    <w:rsid w:val="3D1319B5"/>
    <w:rsid w:val="3D260CA6"/>
    <w:rsid w:val="3D520CCB"/>
    <w:rsid w:val="3D5C6974"/>
    <w:rsid w:val="3D6678B0"/>
    <w:rsid w:val="3D772181"/>
    <w:rsid w:val="3D823D30"/>
    <w:rsid w:val="3DCE6FB3"/>
    <w:rsid w:val="3DD16176"/>
    <w:rsid w:val="3E104E3F"/>
    <w:rsid w:val="3E1D6E9C"/>
    <w:rsid w:val="3E4A1BED"/>
    <w:rsid w:val="3E662345"/>
    <w:rsid w:val="3E82228B"/>
    <w:rsid w:val="3E8242C1"/>
    <w:rsid w:val="3E8E7E91"/>
    <w:rsid w:val="3EB33AF3"/>
    <w:rsid w:val="3EFD0DF6"/>
    <w:rsid w:val="3EFE49C6"/>
    <w:rsid w:val="3F0A5B5C"/>
    <w:rsid w:val="3F1A0890"/>
    <w:rsid w:val="3F3F5846"/>
    <w:rsid w:val="3F71500B"/>
    <w:rsid w:val="3F801023"/>
    <w:rsid w:val="3F8064EB"/>
    <w:rsid w:val="3F982DCA"/>
    <w:rsid w:val="3FD12D26"/>
    <w:rsid w:val="3FDE4917"/>
    <w:rsid w:val="402F3ADF"/>
    <w:rsid w:val="40306F5A"/>
    <w:rsid w:val="40476BB3"/>
    <w:rsid w:val="40546FB6"/>
    <w:rsid w:val="40554803"/>
    <w:rsid w:val="406366F0"/>
    <w:rsid w:val="407A60D5"/>
    <w:rsid w:val="40961808"/>
    <w:rsid w:val="40AB4DEE"/>
    <w:rsid w:val="40D24BBE"/>
    <w:rsid w:val="40EC4043"/>
    <w:rsid w:val="412008E0"/>
    <w:rsid w:val="413A6D3B"/>
    <w:rsid w:val="41515AC7"/>
    <w:rsid w:val="41770893"/>
    <w:rsid w:val="41902B9F"/>
    <w:rsid w:val="41C02331"/>
    <w:rsid w:val="41C13A63"/>
    <w:rsid w:val="41C67037"/>
    <w:rsid w:val="41D229E1"/>
    <w:rsid w:val="41EC6E94"/>
    <w:rsid w:val="41F72149"/>
    <w:rsid w:val="42415ACC"/>
    <w:rsid w:val="427D539F"/>
    <w:rsid w:val="42991E30"/>
    <w:rsid w:val="42CE0B28"/>
    <w:rsid w:val="42CF6367"/>
    <w:rsid w:val="42DE1CCC"/>
    <w:rsid w:val="42FC0B99"/>
    <w:rsid w:val="4308546B"/>
    <w:rsid w:val="43263445"/>
    <w:rsid w:val="434157E3"/>
    <w:rsid w:val="43494860"/>
    <w:rsid w:val="434D380E"/>
    <w:rsid w:val="43934189"/>
    <w:rsid w:val="439D4850"/>
    <w:rsid w:val="43C27232"/>
    <w:rsid w:val="43ED069F"/>
    <w:rsid w:val="442A6E5A"/>
    <w:rsid w:val="445C4B8F"/>
    <w:rsid w:val="44833851"/>
    <w:rsid w:val="44982752"/>
    <w:rsid w:val="44BF6F86"/>
    <w:rsid w:val="44C45031"/>
    <w:rsid w:val="44D53AB2"/>
    <w:rsid w:val="44F27B0D"/>
    <w:rsid w:val="452344A5"/>
    <w:rsid w:val="45485BDE"/>
    <w:rsid w:val="45945C30"/>
    <w:rsid w:val="459F2306"/>
    <w:rsid w:val="45A832FE"/>
    <w:rsid w:val="45AB6174"/>
    <w:rsid w:val="45BA63E5"/>
    <w:rsid w:val="45CC5EDC"/>
    <w:rsid w:val="45F73D47"/>
    <w:rsid w:val="46126D7D"/>
    <w:rsid w:val="462D2575"/>
    <w:rsid w:val="46467FD8"/>
    <w:rsid w:val="46601D33"/>
    <w:rsid w:val="4666746C"/>
    <w:rsid w:val="467505FA"/>
    <w:rsid w:val="468720BA"/>
    <w:rsid w:val="46895AFC"/>
    <w:rsid w:val="46903D86"/>
    <w:rsid w:val="46BC623F"/>
    <w:rsid w:val="46D855B9"/>
    <w:rsid w:val="470D2C74"/>
    <w:rsid w:val="477570F1"/>
    <w:rsid w:val="47B41AAA"/>
    <w:rsid w:val="47CD38AD"/>
    <w:rsid w:val="47DB16D8"/>
    <w:rsid w:val="48416760"/>
    <w:rsid w:val="48466F81"/>
    <w:rsid w:val="484D02A2"/>
    <w:rsid w:val="486B647A"/>
    <w:rsid w:val="48896934"/>
    <w:rsid w:val="48C12AEC"/>
    <w:rsid w:val="48D072A1"/>
    <w:rsid w:val="48D1341D"/>
    <w:rsid w:val="48D63F90"/>
    <w:rsid w:val="48E0279A"/>
    <w:rsid w:val="48E64C8E"/>
    <w:rsid w:val="48FA7B87"/>
    <w:rsid w:val="4919356E"/>
    <w:rsid w:val="492A7740"/>
    <w:rsid w:val="49300AA7"/>
    <w:rsid w:val="49391CB0"/>
    <w:rsid w:val="493C3A20"/>
    <w:rsid w:val="49401E21"/>
    <w:rsid w:val="49526EB9"/>
    <w:rsid w:val="49684311"/>
    <w:rsid w:val="496D00AD"/>
    <w:rsid w:val="49742114"/>
    <w:rsid w:val="49754CB4"/>
    <w:rsid w:val="49921F0F"/>
    <w:rsid w:val="49C87B2C"/>
    <w:rsid w:val="49CE6B8E"/>
    <w:rsid w:val="49D72FF3"/>
    <w:rsid w:val="49E0102B"/>
    <w:rsid w:val="4A2945F2"/>
    <w:rsid w:val="4A29762E"/>
    <w:rsid w:val="4A615154"/>
    <w:rsid w:val="4A96607C"/>
    <w:rsid w:val="4AB92E92"/>
    <w:rsid w:val="4B2134B8"/>
    <w:rsid w:val="4B24233C"/>
    <w:rsid w:val="4B330A0B"/>
    <w:rsid w:val="4B5E55F9"/>
    <w:rsid w:val="4B685D82"/>
    <w:rsid w:val="4B7B4674"/>
    <w:rsid w:val="4B7C663B"/>
    <w:rsid w:val="4B812078"/>
    <w:rsid w:val="4BF71347"/>
    <w:rsid w:val="4BF97932"/>
    <w:rsid w:val="4C141E75"/>
    <w:rsid w:val="4C2A4039"/>
    <w:rsid w:val="4C696EB6"/>
    <w:rsid w:val="4CAE60E3"/>
    <w:rsid w:val="4CEE1D13"/>
    <w:rsid w:val="4D032DA9"/>
    <w:rsid w:val="4D0C6DBE"/>
    <w:rsid w:val="4D25615C"/>
    <w:rsid w:val="4D36054D"/>
    <w:rsid w:val="4D41137F"/>
    <w:rsid w:val="4D524AEA"/>
    <w:rsid w:val="4D5724F7"/>
    <w:rsid w:val="4D757452"/>
    <w:rsid w:val="4D8C3F82"/>
    <w:rsid w:val="4DBC14B8"/>
    <w:rsid w:val="4DE936C7"/>
    <w:rsid w:val="4DF23555"/>
    <w:rsid w:val="4E050D4C"/>
    <w:rsid w:val="4E06569E"/>
    <w:rsid w:val="4E093792"/>
    <w:rsid w:val="4E0B436F"/>
    <w:rsid w:val="4E1D26B7"/>
    <w:rsid w:val="4E1F052C"/>
    <w:rsid w:val="4E451D41"/>
    <w:rsid w:val="4E590592"/>
    <w:rsid w:val="4E7A454C"/>
    <w:rsid w:val="4E85341C"/>
    <w:rsid w:val="4E9B7B12"/>
    <w:rsid w:val="4EC47712"/>
    <w:rsid w:val="4EDD3C61"/>
    <w:rsid w:val="4EF1457F"/>
    <w:rsid w:val="4F2C40A0"/>
    <w:rsid w:val="4F2F3B98"/>
    <w:rsid w:val="4F380B7A"/>
    <w:rsid w:val="4F420D1A"/>
    <w:rsid w:val="4F4B0CB3"/>
    <w:rsid w:val="4F4F0EBF"/>
    <w:rsid w:val="4F8C4B40"/>
    <w:rsid w:val="4FAA5CD5"/>
    <w:rsid w:val="4FBD187E"/>
    <w:rsid w:val="4FD11AC0"/>
    <w:rsid w:val="502F75EB"/>
    <w:rsid w:val="50400243"/>
    <w:rsid w:val="50494336"/>
    <w:rsid w:val="50784012"/>
    <w:rsid w:val="50813C12"/>
    <w:rsid w:val="5087463E"/>
    <w:rsid w:val="50A11680"/>
    <w:rsid w:val="50B77550"/>
    <w:rsid w:val="50C773AE"/>
    <w:rsid w:val="50CD6602"/>
    <w:rsid w:val="510D0F23"/>
    <w:rsid w:val="51197B59"/>
    <w:rsid w:val="511D5FFA"/>
    <w:rsid w:val="51215D4C"/>
    <w:rsid w:val="51615030"/>
    <w:rsid w:val="51627812"/>
    <w:rsid w:val="51D33F6D"/>
    <w:rsid w:val="52045DB4"/>
    <w:rsid w:val="521C4225"/>
    <w:rsid w:val="522C275E"/>
    <w:rsid w:val="529000F6"/>
    <w:rsid w:val="5296149A"/>
    <w:rsid w:val="52A65672"/>
    <w:rsid w:val="52BA4073"/>
    <w:rsid w:val="52CD7B31"/>
    <w:rsid w:val="52D576F4"/>
    <w:rsid w:val="52DF170A"/>
    <w:rsid w:val="52E25B6D"/>
    <w:rsid w:val="52F362FB"/>
    <w:rsid w:val="52F4161A"/>
    <w:rsid w:val="52F965A5"/>
    <w:rsid w:val="53081AD8"/>
    <w:rsid w:val="530E6DD1"/>
    <w:rsid w:val="53235275"/>
    <w:rsid w:val="53240623"/>
    <w:rsid w:val="53321C03"/>
    <w:rsid w:val="533415F9"/>
    <w:rsid w:val="534823B8"/>
    <w:rsid w:val="535657D0"/>
    <w:rsid w:val="535868CC"/>
    <w:rsid w:val="53597EDB"/>
    <w:rsid w:val="538D066D"/>
    <w:rsid w:val="538E0DDF"/>
    <w:rsid w:val="53934B1D"/>
    <w:rsid w:val="53A2278E"/>
    <w:rsid w:val="53CB788B"/>
    <w:rsid w:val="53E32E36"/>
    <w:rsid w:val="54203B94"/>
    <w:rsid w:val="5424233E"/>
    <w:rsid w:val="542A3DC2"/>
    <w:rsid w:val="542C299E"/>
    <w:rsid w:val="543642C1"/>
    <w:rsid w:val="5461235D"/>
    <w:rsid w:val="54667BA2"/>
    <w:rsid w:val="54764F62"/>
    <w:rsid w:val="547E7555"/>
    <w:rsid w:val="54850390"/>
    <w:rsid w:val="54A01FAE"/>
    <w:rsid w:val="54C0256E"/>
    <w:rsid w:val="54C072D6"/>
    <w:rsid w:val="54C334B7"/>
    <w:rsid w:val="54D4667D"/>
    <w:rsid w:val="54D55C56"/>
    <w:rsid w:val="54EC389B"/>
    <w:rsid w:val="54F847D9"/>
    <w:rsid w:val="55126190"/>
    <w:rsid w:val="553D1731"/>
    <w:rsid w:val="5556741D"/>
    <w:rsid w:val="555F3833"/>
    <w:rsid w:val="55667780"/>
    <w:rsid w:val="556E493A"/>
    <w:rsid w:val="55941D63"/>
    <w:rsid w:val="559C0CE1"/>
    <w:rsid w:val="55D11119"/>
    <w:rsid w:val="55DB1F79"/>
    <w:rsid w:val="560A42BD"/>
    <w:rsid w:val="560C1D89"/>
    <w:rsid w:val="56353B20"/>
    <w:rsid w:val="56443B98"/>
    <w:rsid w:val="56453A77"/>
    <w:rsid w:val="56757259"/>
    <w:rsid w:val="56CB4BCB"/>
    <w:rsid w:val="57391A95"/>
    <w:rsid w:val="573F3C9E"/>
    <w:rsid w:val="574C52C4"/>
    <w:rsid w:val="57526FDB"/>
    <w:rsid w:val="57572F35"/>
    <w:rsid w:val="575B33A4"/>
    <w:rsid w:val="57674A5D"/>
    <w:rsid w:val="57C90530"/>
    <w:rsid w:val="57CE0836"/>
    <w:rsid w:val="57FB6CB9"/>
    <w:rsid w:val="58044FAC"/>
    <w:rsid w:val="582F44F7"/>
    <w:rsid w:val="583F27F2"/>
    <w:rsid w:val="58455B6D"/>
    <w:rsid w:val="584D29B0"/>
    <w:rsid w:val="584F7C49"/>
    <w:rsid w:val="586E797C"/>
    <w:rsid w:val="5888302C"/>
    <w:rsid w:val="5889129A"/>
    <w:rsid w:val="58AD528C"/>
    <w:rsid w:val="58B31955"/>
    <w:rsid w:val="58BA1500"/>
    <w:rsid w:val="58BA45A1"/>
    <w:rsid w:val="594F6915"/>
    <w:rsid w:val="59737A65"/>
    <w:rsid w:val="59842DF4"/>
    <w:rsid w:val="59A0359A"/>
    <w:rsid w:val="59E52D9A"/>
    <w:rsid w:val="5A300449"/>
    <w:rsid w:val="5A3E4CD6"/>
    <w:rsid w:val="5A456E60"/>
    <w:rsid w:val="5A482DEE"/>
    <w:rsid w:val="5A55295D"/>
    <w:rsid w:val="5A7E104A"/>
    <w:rsid w:val="5A8208A0"/>
    <w:rsid w:val="5A861FD5"/>
    <w:rsid w:val="5ABE2226"/>
    <w:rsid w:val="5ADE2E08"/>
    <w:rsid w:val="5AE3253A"/>
    <w:rsid w:val="5AEA30C9"/>
    <w:rsid w:val="5AEA3475"/>
    <w:rsid w:val="5AF54C6B"/>
    <w:rsid w:val="5B087B94"/>
    <w:rsid w:val="5B0C2FBE"/>
    <w:rsid w:val="5B0E3E89"/>
    <w:rsid w:val="5B124740"/>
    <w:rsid w:val="5B3E7FCE"/>
    <w:rsid w:val="5B3F66E7"/>
    <w:rsid w:val="5B872AE6"/>
    <w:rsid w:val="5BA77753"/>
    <w:rsid w:val="5BC025EF"/>
    <w:rsid w:val="5C1203C7"/>
    <w:rsid w:val="5C1F35AE"/>
    <w:rsid w:val="5C3905BF"/>
    <w:rsid w:val="5C66397A"/>
    <w:rsid w:val="5C7349B6"/>
    <w:rsid w:val="5C824C05"/>
    <w:rsid w:val="5C8725EE"/>
    <w:rsid w:val="5C9125C3"/>
    <w:rsid w:val="5CB0251A"/>
    <w:rsid w:val="5CB97030"/>
    <w:rsid w:val="5CC97332"/>
    <w:rsid w:val="5D187049"/>
    <w:rsid w:val="5D1D2427"/>
    <w:rsid w:val="5D6C3EA2"/>
    <w:rsid w:val="5D756277"/>
    <w:rsid w:val="5D955FBD"/>
    <w:rsid w:val="5DA62524"/>
    <w:rsid w:val="5DAC3919"/>
    <w:rsid w:val="5DB36259"/>
    <w:rsid w:val="5DBD33B2"/>
    <w:rsid w:val="5DC223CB"/>
    <w:rsid w:val="5DF66637"/>
    <w:rsid w:val="5DFF6858"/>
    <w:rsid w:val="5E185132"/>
    <w:rsid w:val="5E2A0167"/>
    <w:rsid w:val="5E5D68E8"/>
    <w:rsid w:val="5E802A96"/>
    <w:rsid w:val="5E9074FF"/>
    <w:rsid w:val="5EB62A77"/>
    <w:rsid w:val="5EB80355"/>
    <w:rsid w:val="5EBB2226"/>
    <w:rsid w:val="5EBE5F24"/>
    <w:rsid w:val="5EF07004"/>
    <w:rsid w:val="5F0E1E9A"/>
    <w:rsid w:val="5F860C23"/>
    <w:rsid w:val="5FC44411"/>
    <w:rsid w:val="60465865"/>
    <w:rsid w:val="605C7AA6"/>
    <w:rsid w:val="605F132B"/>
    <w:rsid w:val="608510A4"/>
    <w:rsid w:val="608762FF"/>
    <w:rsid w:val="609E1C45"/>
    <w:rsid w:val="60BD4FD1"/>
    <w:rsid w:val="60D507D0"/>
    <w:rsid w:val="60EA1511"/>
    <w:rsid w:val="60EB6C34"/>
    <w:rsid w:val="60FD5C7B"/>
    <w:rsid w:val="61043ACD"/>
    <w:rsid w:val="613D7E7B"/>
    <w:rsid w:val="617162E9"/>
    <w:rsid w:val="61A52BAA"/>
    <w:rsid w:val="61B160E0"/>
    <w:rsid w:val="61FA0AE4"/>
    <w:rsid w:val="623438BB"/>
    <w:rsid w:val="624B10F0"/>
    <w:rsid w:val="624F3E48"/>
    <w:rsid w:val="62635981"/>
    <w:rsid w:val="629B3E75"/>
    <w:rsid w:val="629B5D43"/>
    <w:rsid w:val="62A36D1F"/>
    <w:rsid w:val="62A40365"/>
    <w:rsid w:val="62A469A9"/>
    <w:rsid w:val="62A92FF1"/>
    <w:rsid w:val="62B90FFE"/>
    <w:rsid w:val="62F6018D"/>
    <w:rsid w:val="63016E3A"/>
    <w:rsid w:val="63034141"/>
    <w:rsid w:val="63045E00"/>
    <w:rsid w:val="63047D85"/>
    <w:rsid w:val="630A731B"/>
    <w:rsid w:val="63386B48"/>
    <w:rsid w:val="633A3FE7"/>
    <w:rsid w:val="63562840"/>
    <w:rsid w:val="637141EC"/>
    <w:rsid w:val="63805B1F"/>
    <w:rsid w:val="63834973"/>
    <w:rsid w:val="638F3DC7"/>
    <w:rsid w:val="6397194C"/>
    <w:rsid w:val="63DA4B5E"/>
    <w:rsid w:val="63E428A1"/>
    <w:rsid w:val="64273E62"/>
    <w:rsid w:val="642E2892"/>
    <w:rsid w:val="646B02CF"/>
    <w:rsid w:val="64AD7C37"/>
    <w:rsid w:val="64B05758"/>
    <w:rsid w:val="64BE4B0D"/>
    <w:rsid w:val="65075A96"/>
    <w:rsid w:val="650E600B"/>
    <w:rsid w:val="650F0C7B"/>
    <w:rsid w:val="65AE2283"/>
    <w:rsid w:val="65B221E6"/>
    <w:rsid w:val="66426031"/>
    <w:rsid w:val="66593B74"/>
    <w:rsid w:val="66651C8A"/>
    <w:rsid w:val="66675176"/>
    <w:rsid w:val="669F2C65"/>
    <w:rsid w:val="66B94751"/>
    <w:rsid w:val="66BE6B53"/>
    <w:rsid w:val="66C55FD8"/>
    <w:rsid w:val="66D333AF"/>
    <w:rsid w:val="67192A34"/>
    <w:rsid w:val="674A4927"/>
    <w:rsid w:val="677243C5"/>
    <w:rsid w:val="678568CD"/>
    <w:rsid w:val="67A24F14"/>
    <w:rsid w:val="67BB4EAD"/>
    <w:rsid w:val="67E453F6"/>
    <w:rsid w:val="67F130F8"/>
    <w:rsid w:val="67F84AFE"/>
    <w:rsid w:val="680878A3"/>
    <w:rsid w:val="68340476"/>
    <w:rsid w:val="683870E8"/>
    <w:rsid w:val="68457681"/>
    <w:rsid w:val="68496CC3"/>
    <w:rsid w:val="684977D5"/>
    <w:rsid w:val="68552C50"/>
    <w:rsid w:val="685D34E7"/>
    <w:rsid w:val="68A8123A"/>
    <w:rsid w:val="68B84F4C"/>
    <w:rsid w:val="69055229"/>
    <w:rsid w:val="6929374C"/>
    <w:rsid w:val="692F20BB"/>
    <w:rsid w:val="69784C3F"/>
    <w:rsid w:val="69C1095D"/>
    <w:rsid w:val="6A0138F7"/>
    <w:rsid w:val="6A062D5F"/>
    <w:rsid w:val="6A1E155A"/>
    <w:rsid w:val="6A7B5447"/>
    <w:rsid w:val="6ADB012D"/>
    <w:rsid w:val="6AE3748E"/>
    <w:rsid w:val="6AF53FAE"/>
    <w:rsid w:val="6B1C3EC6"/>
    <w:rsid w:val="6B574638"/>
    <w:rsid w:val="6B615C8D"/>
    <w:rsid w:val="6B67068F"/>
    <w:rsid w:val="6B6E2E8D"/>
    <w:rsid w:val="6BAB6FBB"/>
    <w:rsid w:val="6BB568D4"/>
    <w:rsid w:val="6BDE18B5"/>
    <w:rsid w:val="6BDF79C7"/>
    <w:rsid w:val="6BE146ED"/>
    <w:rsid w:val="6BF178EE"/>
    <w:rsid w:val="6C0B074D"/>
    <w:rsid w:val="6C1458EF"/>
    <w:rsid w:val="6C231806"/>
    <w:rsid w:val="6C275F8B"/>
    <w:rsid w:val="6C3B15FF"/>
    <w:rsid w:val="6C3B431E"/>
    <w:rsid w:val="6C3E5116"/>
    <w:rsid w:val="6C725FD7"/>
    <w:rsid w:val="6C852D02"/>
    <w:rsid w:val="6CC0649B"/>
    <w:rsid w:val="6CEA2C90"/>
    <w:rsid w:val="6CFA5C74"/>
    <w:rsid w:val="6D2C4A68"/>
    <w:rsid w:val="6D3B2E78"/>
    <w:rsid w:val="6D3C3AC0"/>
    <w:rsid w:val="6D410335"/>
    <w:rsid w:val="6D4305C3"/>
    <w:rsid w:val="6D48445E"/>
    <w:rsid w:val="6D500B73"/>
    <w:rsid w:val="6D666AA6"/>
    <w:rsid w:val="6D687043"/>
    <w:rsid w:val="6D7D6DC8"/>
    <w:rsid w:val="6D885EAB"/>
    <w:rsid w:val="6D953F0C"/>
    <w:rsid w:val="6DB67EBB"/>
    <w:rsid w:val="6DEF52E3"/>
    <w:rsid w:val="6E0E6A1E"/>
    <w:rsid w:val="6E2D763E"/>
    <w:rsid w:val="6E420FB1"/>
    <w:rsid w:val="6E95768E"/>
    <w:rsid w:val="6EA14900"/>
    <w:rsid w:val="6EB27AA3"/>
    <w:rsid w:val="6EF9461D"/>
    <w:rsid w:val="6F1348E9"/>
    <w:rsid w:val="6F2A01FE"/>
    <w:rsid w:val="6F2A71A4"/>
    <w:rsid w:val="6F487F58"/>
    <w:rsid w:val="6F734B22"/>
    <w:rsid w:val="6F9415EA"/>
    <w:rsid w:val="6FB72F84"/>
    <w:rsid w:val="6FCA5E7C"/>
    <w:rsid w:val="6FE3419F"/>
    <w:rsid w:val="6FF778F1"/>
    <w:rsid w:val="700346D4"/>
    <w:rsid w:val="700706FE"/>
    <w:rsid w:val="70287F2C"/>
    <w:rsid w:val="70AF69EB"/>
    <w:rsid w:val="70F97D93"/>
    <w:rsid w:val="71181113"/>
    <w:rsid w:val="711D7CA6"/>
    <w:rsid w:val="71227E63"/>
    <w:rsid w:val="71614B6B"/>
    <w:rsid w:val="718D2905"/>
    <w:rsid w:val="719909D2"/>
    <w:rsid w:val="719B61D4"/>
    <w:rsid w:val="71A10922"/>
    <w:rsid w:val="71D214DD"/>
    <w:rsid w:val="72091DAA"/>
    <w:rsid w:val="72267D97"/>
    <w:rsid w:val="724E29D1"/>
    <w:rsid w:val="728564F5"/>
    <w:rsid w:val="728B7ACE"/>
    <w:rsid w:val="728E70EC"/>
    <w:rsid w:val="729701CD"/>
    <w:rsid w:val="72AB431D"/>
    <w:rsid w:val="72DA09BB"/>
    <w:rsid w:val="72E745EF"/>
    <w:rsid w:val="730E0485"/>
    <w:rsid w:val="730E4D7D"/>
    <w:rsid w:val="731466EF"/>
    <w:rsid w:val="73212A01"/>
    <w:rsid w:val="73322FF0"/>
    <w:rsid w:val="733712FB"/>
    <w:rsid w:val="73460FB0"/>
    <w:rsid w:val="73513F28"/>
    <w:rsid w:val="735A7119"/>
    <w:rsid w:val="736127BE"/>
    <w:rsid w:val="739E0038"/>
    <w:rsid w:val="73B34591"/>
    <w:rsid w:val="73D850A2"/>
    <w:rsid w:val="73DE7F6C"/>
    <w:rsid w:val="73E365CE"/>
    <w:rsid w:val="73E64B1D"/>
    <w:rsid w:val="740735EA"/>
    <w:rsid w:val="7408106C"/>
    <w:rsid w:val="745E58D2"/>
    <w:rsid w:val="749E2818"/>
    <w:rsid w:val="74BE4E97"/>
    <w:rsid w:val="74D504C8"/>
    <w:rsid w:val="74F679F1"/>
    <w:rsid w:val="74F841F7"/>
    <w:rsid w:val="75003D28"/>
    <w:rsid w:val="750445F2"/>
    <w:rsid w:val="751D637E"/>
    <w:rsid w:val="751F2555"/>
    <w:rsid w:val="753504B8"/>
    <w:rsid w:val="75466A74"/>
    <w:rsid w:val="758418D8"/>
    <w:rsid w:val="75A17528"/>
    <w:rsid w:val="75AA6AC3"/>
    <w:rsid w:val="75B749A9"/>
    <w:rsid w:val="75CD3F16"/>
    <w:rsid w:val="76781DCD"/>
    <w:rsid w:val="76D84698"/>
    <w:rsid w:val="775865D7"/>
    <w:rsid w:val="775B4584"/>
    <w:rsid w:val="776234AF"/>
    <w:rsid w:val="776D12AE"/>
    <w:rsid w:val="77AD0FE0"/>
    <w:rsid w:val="77BE7384"/>
    <w:rsid w:val="78821B50"/>
    <w:rsid w:val="788E2A2A"/>
    <w:rsid w:val="78BC088E"/>
    <w:rsid w:val="78C52EE0"/>
    <w:rsid w:val="78D23C9C"/>
    <w:rsid w:val="7913610A"/>
    <w:rsid w:val="791A167A"/>
    <w:rsid w:val="796B6F7E"/>
    <w:rsid w:val="79935707"/>
    <w:rsid w:val="799A2128"/>
    <w:rsid w:val="799E03EF"/>
    <w:rsid w:val="79C30D65"/>
    <w:rsid w:val="79CC3295"/>
    <w:rsid w:val="7A0B1561"/>
    <w:rsid w:val="7A25258A"/>
    <w:rsid w:val="7A2C646D"/>
    <w:rsid w:val="7A3258CC"/>
    <w:rsid w:val="7A55546C"/>
    <w:rsid w:val="7A743686"/>
    <w:rsid w:val="7A824E2E"/>
    <w:rsid w:val="7A93705D"/>
    <w:rsid w:val="7A9E7BE0"/>
    <w:rsid w:val="7AFF6437"/>
    <w:rsid w:val="7B021BF1"/>
    <w:rsid w:val="7B583BC8"/>
    <w:rsid w:val="7B9F2862"/>
    <w:rsid w:val="7BA9751C"/>
    <w:rsid w:val="7BAB44F6"/>
    <w:rsid w:val="7BB856C6"/>
    <w:rsid w:val="7BBB27D3"/>
    <w:rsid w:val="7BC24A45"/>
    <w:rsid w:val="7BD52A90"/>
    <w:rsid w:val="7C076616"/>
    <w:rsid w:val="7C0D60AB"/>
    <w:rsid w:val="7C295DFC"/>
    <w:rsid w:val="7C4B37FA"/>
    <w:rsid w:val="7C58255B"/>
    <w:rsid w:val="7C5B5FF8"/>
    <w:rsid w:val="7C7479BA"/>
    <w:rsid w:val="7C910DB6"/>
    <w:rsid w:val="7CE860AF"/>
    <w:rsid w:val="7CF03F88"/>
    <w:rsid w:val="7CF73786"/>
    <w:rsid w:val="7D5E51C4"/>
    <w:rsid w:val="7D7525FB"/>
    <w:rsid w:val="7DC111D1"/>
    <w:rsid w:val="7DC43A43"/>
    <w:rsid w:val="7DC74225"/>
    <w:rsid w:val="7DDA69EF"/>
    <w:rsid w:val="7DE82BE2"/>
    <w:rsid w:val="7E6C26A2"/>
    <w:rsid w:val="7EB35583"/>
    <w:rsid w:val="7EB5276C"/>
    <w:rsid w:val="7EBC57D7"/>
    <w:rsid w:val="7ED0794B"/>
    <w:rsid w:val="7ED70A6F"/>
    <w:rsid w:val="7EE20D78"/>
    <w:rsid w:val="7F3206AA"/>
    <w:rsid w:val="7F42398C"/>
    <w:rsid w:val="7F5E6382"/>
    <w:rsid w:val="7F5F2553"/>
    <w:rsid w:val="7F89742A"/>
    <w:rsid w:val="7F953187"/>
    <w:rsid w:val="7F9B22D0"/>
    <w:rsid w:val="7F9F74D0"/>
    <w:rsid w:val="7FA200C0"/>
    <w:rsid w:val="7FA23B7F"/>
    <w:rsid w:val="7FBE60DA"/>
    <w:rsid w:val="7FBF3588"/>
    <w:rsid w:val="7FDE4F4F"/>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rPr>
      <w:szCs w:val="20"/>
    </w:rPr>
  </w:style>
  <w:style w:type="paragraph" w:styleId="8">
    <w:name w:val="Document Map"/>
    <w:basedOn w:val="1"/>
    <w:link w:val="35"/>
    <w:qFormat/>
    <w:uiPriority w:val="0"/>
    <w:rPr>
      <w:rFonts w:ascii="宋体" w:hAnsi="Tahoma"/>
      <w:sz w:val="18"/>
      <w:szCs w:val="18"/>
    </w:rPr>
  </w:style>
  <w:style w:type="paragraph" w:styleId="9">
    <w:name w:val="annotation text"/>
    <w:basedOn w:val="1"/>
    <w:link w:val="64"/>
    <w:semiHidden/>
    <w:qFormat/>
    <w:uiPriority w:val="99"/>
    <w:pPr>
      <w:jc w:val="left"/>
    </w:pPr>
    <w:rPr>
      <w:rFonts w:ascii="Tahoma" w:hAnsi="Tahoma"/>
    </w:rPr>
  </w:style>
  <w:style w:type="paragraph" w:styleId="10">
    <w:name w:val="Body Text 3"/>
    <w:basedOn w:val="1"/>
    <w:qFormat/>
    <w:uiPriority w:val="0"/>
    <w:rPr>
      <w:kern w:val="0"/>
      <w:sz w:val="16"/>
      <w:szCs w:val="16"/>
    </w:r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toc 3"/>
    <w:basedOn w:val="1"/>
    <w:next w:val="1"/>
    <w:unhideWhenUsed/>
    <w:qFormat/>
    <w:uiPriority w:val="39"/>
    <w:pPr>
      <w:ind w:left="840" w:leftChars="400"/>
    </w:pPr>
    <w:rPr>
      <w:sz w:val="28"/>
    </w:rPr>
  </w:style>
  <w:style w:type="paragraph" w:styleId="14">
    <w:name w:val="Plain Text"/>
    <w:basedOn w:val="1"/>
    <w:qFormat/>
    <w:uiPriority w:val="0"/>
    <w:rPr>
      <w:rFonts w:ascii="宋体" w:hAnsi="Courier New" w:eastAsia="楷体_GB2312"/>
      <w:snapToGrid w:val="0"/>
      <w:color w:val="000000"/>
      <w:kern w:val="0"/>
      <w:sz w:val="32"/>
      <w:szCs w:val="21"/>
    </w:rPr>
  </w:style>
  <w:style w:type="paragraph" w:styleId="15">
    <w:name w:val="Date"/>
    <w:basedOn w:val="1"/>
    <w:next w:val="1"/>
    <w:qFormat/>
    <w:uiPriority w:val="0"/>
    <w:rPr>
      <w:rFonts w:ascii="楷体_GB2312" w:eastAsia="楷体_GB2312"/>
      <w:color w:val="000000"/>
      <w:kern w:val="0"/>
      <w:sz w:val="32"/>
      <w:szCs w:val="32"/>
    </w:rPr>
  </w:style>
  <w:style w:type="paragraph" w:styleId="16">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7">
    <w:name w:val="Balloon Text"/>
    <w:basedOn w:val="1"/>
    <w:unhideWhenUsed/>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ind w:left="359" w:leftChars="171" w:firstLine="554" w:firstLineChars="198"/>
    </w:pPr>
    <w:rPr>
      <w:sz w:val="28"/>
      <w:szCs w:val="20"/>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5">
    <w:name w:val="annotation subject"/>
    <w:basedOn w:val="9"/>
    <w:next w:val="9"/>
    <w:link w:val="62"/>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b/>
      <w:bCs/>
      <w:sz w:val="24"/>
    </w:rPr>
  </w:style>
  <w:style w:type="character" w:styleId="30">
    <w:name w:val="page number"/>
    <w:basedOn w:val="28"/>
    <w:qFormat/>
    <w:uiPriority w:val="0"/>
  </w:style>
  <w:style w:type="character" w:styleId="31">
    <w:name w:val="FollowedHyperlink"/>
    <w:qFormat/>
    <w:uiPriority w:val="0"/>
    <w:rPr>
      <w:rFonts w:ascii="Tahoma" w:hAnsi="Tahoma"/>
      <w:color w:val="000000"/>
      <w:sz w:val="18"/>
      <w:szCs w:val="18"/>
      <w:u w:val="none"/>
    </w:rPr>
  </w:style>
  <w:style w:type="character" w:styleId="32">
    <w:name w:val="Hyperlink"/>
    <w:qFormat/>
    <w:uiPriority w:val="99"/>
    <w:rPr>
      <w:rFonts w:ascii="Tahoma" w:hAnsi="Tahoma"/>
      <w:color w:val="0000FF"/>
      <w:sz w:val="24"/>
      <w:u w:val="single"/>
    </w:rPr>
  </w:style>
  <w:style w:type="character" w:styleId="33">
    <w:name w:val="annotation reference"/>
    <w:unhideWhenUsed/>
    <w:qFormat/>
    <w:uiPriority w:val="99"/>
    <w:rPr>
      <w:rFonts w:ascii="Tahoma" w:hAnsi="Tahoma"/>
      <w:sz w:val="21"/>
      <w:szCs w:val="21"/>
    </w:rPr>
  </w:style>
  <w:style w:type="character" w:customStyle="1" w:styleId="34">
    <w:name w:val="cfdate"/>
    <w:basedOn w:val="28"/>
    <w:qFormat/>
    <w:uiPriority w:val="0"/>
    <w:rPr>
      <w:color w:val="333333"/>
      <w:sz w:val="18"/>
      <w:szCs w:val="18"/>
    </w:rPr>
  </w:style>
  <w:style w:type="character" w:customStyle="1" w:styleId="35">
    <w:name w:val="文档结构图 字符"/>
    <w:link w:val="8"/>
    <w:qFormat/>
    <w:uiPriority w:val="0"/>
    <w:rPr>
      <w:rFonts w:ascii="宋体" w:hAnsi="Tahoma"/>
      <w:kern w:val="2"/>
      <w:sz w:val="18"/>
      <w:szCs w:val="18"/>
    </w:rPr>
  </w:style>
  <w:style w:type="character" w:customStyle="1" w:styleId="36">
    <w:name w:val="copyright"/>
    <w:basedOn w:val="28"/>
    <w:qFormat/>
    <w:uiPriority w:val="0"/>
  </w:style>
  <w:style w:type="character" w:customStyle="1" w:styleId="37">
    <w:name w:val="Char Char6"/>
    <w:qFormat/>
    <w:uiPriority w:val="0"/>
    <w:rPr>
      <w:rFonts w:ascii="Tahoma" w:hAnsi="Tahoma" w:eastAsia="宋体"/>
      <w:b/>
      <w:bCs/>
      <w:kern w:val="2"/>
      <w:sz w:val="32"/>
      <w:szCs w:val="32"/>
      <w:lang w:val="en-US" w:eastAsia="zh-CN" w:bidi="ar-SA"/>
    </w:rPr>
  </w:style>
  <w:style w:type="character" w:customStyle="1" w:styleId="38">
    <w:name w:val="qxdate"/>
    <w:basedOn w:val="28"/>
    <w:qFormat/>
    <w:uiPriority w:val="0"/>
    <w:rPr>
      <w:color w:val="333333"/>
      <w:sz w:val="18"/>
      <w:szCs w:val="18"/>
    </w:rPr>
  </w:style>
  <w:style w:type="character" w:customStyle="1" w:styleId="39">
    <w:name w:val="gjfg"/>
    <w:basedOn w:val="28"/>
    <w:qFormat/>
    <w:uiPriority w:val="0"/>
  </w:style>
  <w:style w:type="character" w:customStyle="1" w:styleId="40">
    <w:name w:val="Char Char3"/>
    <w:semiHidden/>
    <w:qFormat/>
    <w:uiPriority w:val="0"/>
    <w:rPr>
      <w:rFonts w:ascii="Tahoma" w:hAnsi="Tahoma" w:eastAsia="宋体"/>
      <w:kern w:val="2"/>
      <w:sz w:val="18"/>
      <w:szCs w:val="18"/>
      <w:lang w:val="en-US" w:eastAsia="zh-CN" w:bidi="ar-SA"/>
    </w:rPr>
  </w:style>
  <w:style w:type="character" w:customStyle="1" w:styleId="41">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2">
    <w:name w:val="Char Char4"/>
    <w:qFormat/>
    <w:uiPriority w:val="0"/>
    <w:rPr>
      <w:rFonts w:ascii="Tahoma" w:hAnsi="Tahoma" w:eastAsia="宋体"/>
      <w:kern w:val="2"/>
      <w:sz w:val="18"/>
      <w:szCs w:val="18"/>
      <w:lang w:val="en-US" w:eastAsia="zh-CN" w:bidi="ar-SA"/>
    </w:rPr>
  </w:style>
  <w:style w:type="character" w:customStyle="1" w:styleId="43">
    <w:name w:val="font51"/>
    <w:qFormat/>
    <w:uiPriority w:val="0"/>
    <w:rPr>
      <w:rFonts w:hint="eastAsia" w:ascii="宋体" w:hAnsi="宋体" w:eastAsia="宋体" w:cs="宋体"/>
      <w:color w:val="000000"/>
      <w:sz w:val="21"/>
      <w:szCs w:val="21"/>
      <w:u w:val="none"/>
    </w:rPr>
  </w:style>
  <w:style w:type="character" w:customStyle="1" w:styleId="44">
    <w:name w:val="Char Char1"/>
    <w:semiHidden/>
    <w:qFormat/>
    <w:uiPriority w:val="0"/>
    <w:rPr>
      <w:rFonts w:ascii="Tahoma" w:hAnsi="Tahoma" w:eastAsia="宋体"/>
      <w:kern w:val="2"/>
      <w:sz w:val="28"/>
      <w:lang w:val="en-US" w:eastAsia="zh-CN" w:bidi="ar-SA"/>
    </w:rPr>
  </w:style>
  <w:style w:type="character" w:customStyle="1" w:styleId="45">
    <w:name w:val="profont1"/>
    <w:qFormat/>
    <w:uiPriority w:val="0"/>
    <w:rPr>
      <w:rFonts w:hint="default" w:ascii="Verdana" w:hAnsi="Verdana"/>
      <w:b/>
      <w:bCs/>
      <w:color w:val="333333"/>
      <w:sz w:val="24"/>
      <w:szCs w:val="24"/>
      <w:u w:val="none"/>
    </w:rPr>
  </w:style>
  <w:style w:type="character" w:customStyle="1" w:styleId="46">
    <w:name w:val="标题 2 Char"/>
    <w:qFormat/>
    <w:uiPriority w:val="0"/>
    <w:rPr>
      <w:rFonts w:ascii="Arial" w:hAnsi="Arial" w:eastAsia="黑体"/>
      <w:b/>
      <w:bCs/>
      <w:kern w:val="2"/>
      <w:sz w:val="32"/>
      <w:szCs w:val="32"/>
      <w:lang w:val="en-US" w:eastAsia="zh-CN" w:bidi="ar-SA"/>
    </w:rPr>
  </w:style>
  <w:style w:type="character" w:customStyle="1" w:styleId="47">
    <w:name w:val="Char Char5"/>
    <w:qFormat/>
    <w:uiPriority w:val="0"/>
    <w:rPr>
      <w:rFonts w:ascii="Tahoma" w:hAnsi="Tahoma" w:eastAsia="宋体"/>
      <w:kern w:val="2"/>
      <w:sz w:val="18"/>
      <w:szCs w:val="18"/>
      <w:lang w:val="en-US" w:eastAsia="zh-CN" w:bidi="ar-SA"/>
    </w:rPr>
  </w:style>
  <w:style w:type="character" w:customStyle="1" w:styleId="48">
    <w:name w:val="标题 1.1 Char1"/>
    <w:qFormat/>
    <w:uiPriority w:val="0"/>
    <w:rPr>
      <w:rFonts w:ascii="Arial" w:hAnsi="Arial" w:eastAsia="黑体"/>
      <w:b/>
      <w:bCs/>
      <w:kern w:val="2"/>
      <w:sz w:val="32"/>
      <w:szCs w:val="32"/>
      <w:lang w:val="en-US" w:eastAsia="zh-CN" w:bidi="ar-SA"/>
    </w:rPr>
  </w:style>
  <w:style w:type="character" w:customStyle="1" w:styleId="49">
    <w:name w:val="font01"/>
    <w:qFormat/>
    <w:uiPriority w:val="0"/>
    <w:rPr>
      <w:rFonts w:hint="eastAsia" w:ascii="宋体" w:hAnsi="宋体" w:eastAsia="宋体" w:cs="宋体"/>
      <w:color w:val="000000"/>
      <w:sz w:val="24"/>
      <w:szCs w:val="24"/>
      <w:u w:val="none"/>
    </w:rPr>
  </w:style>
  <w:style w:type="character" w:customStyle="1" w:styleId="50">
    <w:name w:val="font11"/>
    <w:qFormat/>
    <w:uiPriority w:val="0"/>
    <w:rPr>
      <w:rFonts w:hint="eastAsia" w:ascii="宋体" w:hAnsi="宋体" w:eastAsia="宋体" w:cs="宋体"/>
      <w:b/>
      <w:color w:val="000000"/>
      <w:sz w:val="24"/>
      <w:szCs w:val="24"/>
      <w:u w:val="none"/>
    </w:rPr>
  </w:style>
  <w:style w:type="character" w:customStyle="1" w:styleId="51">
    <w:name w:val="Char Char"/>
    <w:qFormat/>
    <w:uiPriority w:val="0"/>
    <w:rPr>
      <w:rFonts w:ascii="Tahoma" w:hAnsi="Tahoma"/>
      <w:kern w:val="2"/>
      <w:sz w:val="21"/>
      <w:szCs w:val="24"/>
    </w:rPr>
  </w:style>
  <w:style w:type="character" w:customStyle="1" w:styleId="52">
    <w:name w:val="style111"/>
    <w:qFormat/>
    <w:uiPriority w:val="0"/>
    <w:rPr>
      <w:rFonts w:ascii="Tahoma" w:hAnsi="Tahoma"/>
      <w:sz w:val="22"/>
      <w:szCs w:val="22"/>
    </w:rPr>
  </w:style>
  <w:style w:type="character" w:customStyle="1" w:styleId="53">
    <w:name w:val="displayarti"/>
    <w:basedOn w:val="28"/>
    <w:qFormat/>
    <w:uiPriority w:val="0"/>
    <w:rPr>
      <w:color w:val="FFFFFF"/>
      <w:shd w:val="clear" w:color="auto" w:fill="A00000"/>
    </w:rPr>
  </w:style>
  <w:style w:type="character" w:customStyle="1" w:styleId="54">
    <w:name w:val="Char Char7"/>
    <w:qFormat/>
    <w:uiPriority w:val="0"/>
    <w:rPr>
      <w:rFonts w:ascii="Tahoma" w:hAnsi="Tahoma" w:eastAsia="宋体"/>
      <w:b/>
      <w:bCs/>
      <w:kern w:val="44"/>
      <w:sz w:val="44"/>
      <w:szCs w:val="44"/>
      <w:lang w:val="en-US" w:eastAsia="zh-CN" w:bidi="ar-SA"/>
    </w:rPr>
  </w:style>
  <w:style w:type="character" w:customStyle="1" w:styleId="55">
    <w:name w:val="font31"/>
    <w:qFormat/>
    <w:uiPriority w:val="0"/>
    <w:rPr>
      <w:rFonts w:hint="eastAsia" w:ascii="宋体" w:hAnsi="宋体" w:eastAsia="宋体" w:cs="宋体"/>
      <w:color w:val="000000"/>
      <w:sz w:val="21"/>
      <w:szCs w:val="21"/>
      <w:u w:val="none"/>
    </w:rPr>
  </w:style>
  <w:style w:type="character" w:customStyle="1" w:styleId="56">
    <w:name w:val="Char Char2"/>
    <w:qFormat/>
    <w:uiPriority w:val="0"/>
    <w:rPr>
      <w:rFonts w:ascii="华文仿宋" w:hAnsi="华文仿宋" w:eastAsia="华文仿宋"/>
      <w:color w:val="000000"/>
      <w:sz w:val="32"/>
      <w:szCs w:val="32"/>
      <w:lang w:val="en-US" w:eastAsia="zh-CN" w:bidi="ar-SA"/>
    </w:rPr>
  </w:style>
  <w:style w:type="character" w:customStyle="1" w:styleId="57">
    <w:name w:val="style51"/>
    <w:qFormat/>
    <w:uiPriority w:val="0"/>
    <w:rPr>
      <w:rFonts w:ascii="Tahoma" w:hAnsi="Tahoma"/>
      <w:b/>
      <w:bCs/>
      <w:color w:val="814107"/>
      <w:sz w:val="21"/>
      <w:szCs w:val="21"/>
    </w:rPr>
  </w:style>
  <w:style w:type="character" w:customStyle="1" w:styleId="58">
    <w:name w:val="页脚 字符"/>
    <w:link w:val="18"/>
    <w:qFormat/>
    <w:uiPriority w:val="99"/>
    <w:rPr>
      <w:rFonts w:ascii="Tahoma" w:hAnsi="Tahoma"/>
      <w:kern w:val="2"/>
      <w:sz w:val="18"/>
      <w:szCs w:val="18"/>
    </w:rPr>
  </w:style>
  <w:style w:type="character" w:customStyle="1" w:styleId="59">
    <w:name w:val="标题 1.1 Char"/>
    <w:qFormat/>
    <w:uiPriority w:val="0"/>
    <w:rPr>
      <w:rFonts w:ascii="仿宋_GB2312" w:hAnsi="Arial" w:eastAsia="仿宋_GB2312" w:cs="Arial"/>
      <w:b/>
      <w:bCs/>
      <w:kern w:val="2"/>
      <w:sz w:val="24"/>
      <w:szCs w:val="24"/>
      <w:lang w:val="en-US" w:eastAsia="zh-CN" w:bidi="ar-SA"/>
    </w:rPr>
  </w:style>
  <w:style w:type="character" w:customStyle="1" w:styleId="60">
    <w:name w:val="普通文字 Char1"/>
    <w:qFormat/>
    <w:uiPriority w:val="0"/>
    <w:rPr>
      <w:rFonts w:ascii="宋体" w:hAnsi="Courier New" w:eastAsia="宋体"/>
      <w:kern w:val="2"/>
      <w:sz w:val="21"/>
      <w:szCs w:val="21"/>
      <w:lang w:val="en-US" w:eastAsia="zh-CN" w:bidi="ar-SA"/>
    </w:rPr>
  </w:style>
  <w:style w:type="character" w:customStyle="1" w:styleId="61">
    <w:name w:val="font41"/>
    <w:qFormat/>
    <w:uiPriority w:val="0"/>
    <w:rPr>
      <w:rFonts w:ascii="font-weight : 400" w:hAnsi="font-weight : 400" w:eastAsia="font-weight : 400" w:cs="font-weight : 400"/>
      <w:color w:val="000000"/>
      <w:sz w:val="21"/>
      <w:szCs w:val="21"/>
      <w:u w:val="none"/>
    </w:rPr>
  </w:style>
  <w:style w:type="character" w:customStyle="1" w:styleId="62">
    <w:name w:val="批注主题 字符"/>
    <w:link w:val="25"/>
    <w:qFormat/>
    <w:uiPriority w:val="0"/>
    <w:rPr>
      <w:rFonts w:ascii="Tahoma" w:hAnsi="Tahoma"/>
      <w:b/>
      <w:bCs/>
      <w:kern w:val="2"/>
      <w:sz w:val="21"/>
      <w:szCs w:val="24"/>
    </w:rPr>
  </w:style>
  <w:style w:type="character" w:customStyle="1" w:styleId="63">
    <w:name w:val="redfilefwwh"/>
    <w:basedOn w:val="28"/>
    <w:qFormat/>
    <w:uiPriority w:val="0"/>
    <w:rPr>
      <w:color w:val="BA2636"/>
      <w:sz w:val="18"/>
      <w:szCs w:val="18"/>
    </w:rPr>
  </w:style>
  <w:style w:type="character" w:customStyle="1" w:styleId="64">
    <w:name w:val="批注文字 字符"/>
    <w:link w:val="9"/>
    <w:semiHidden/>
    <w:qFormat/>
    <w:uiPriority w:val="99"/>
    <w:rPr>
      <w:rFonts w:ascii="Tahoma" w:hAnsi="Tahoma"/>
      <w:kern w:val="2"/>
      <w:sz w:val="21"/>
      <w:szCs w:val="24"/>
    </w:rPr>
  </w:style>
  <w:style w:type="character" w:customStyle="1" w:styleId="65">
    <w:name w:val="redfilenumber"/>
    <w:basedOn w:val="28"/>
    <w:qFormat/>
    <w:uiPriority w:val="0"/>
    <w:rPr>
      <w:color w:val="BA2636"/>
      <w:sz w:val="18"/>
      <w:szCs w:val="18"/>
    </w:rPr>
  </w:style>
  <w:style w:type="paragraph" w:customStyle="1" w:styleId="66">
    <w:name w:val="Char1 Char Char Char"/>
    <w:basedOn w:val="1"/>
    <w:qFormat/>
    <w:uiPriority w:val="0"/>
    <w:pPr>
      <w:adjustRightInd w:val="0"/>
      <w:spacing w:line="360" w:lineRule="auto"/>
    </w:pPr>
    <w:rPr>
      <w:kern w:val="0"/>
      <w:sz w:val="24"/>
      <w:szCs w:val="20"/>
    </w:rPr>
  </w:style>
  <w:style w:type="paragraph" w:customStyle="1" w:styleId="6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_Style 2"/>
    <w:basedOn w:val="1"/>
    <w:qFormat/>
    <w:uiPriority w:val="34"/>
    <w:pPr>
      <w:ind w:firstLine="420" w:firstLineChars="200"/>
    </w:pPr>
  </w:style>
  <w:style w:type="paragraph" w:customStyle="1" w:styleId="69">
    <w:name w:val="Char Char Char Char Char Char"/>
    <w:basedOn w:val="1"/>
    <w:qFormat/>
    <w:uiPriority w:val="0"/>
    <w:rPr>
      <w:rFonts w:ascii="Tahoma" w:hAnsi="Tahoma"/>
      <w:sz w:val="24"/>
    </w:rPr>
  </w:style>
  <w:style w:type="paragraph" w:customStyle="1" w:styleId="7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1">
    <w:name w:val="Char Char Char"/>
    <w:basedOn w:val="1"/>
    <w:qFormat/>
    <w:uiPriority w:val="0"/>
    <w:rPr>
      <w:rFonts w:ascii="Tahoma" w:hAnsi="Tahoma"/>
      <w:sz w:val="24"/>
      <w:szCs w:val="20"/>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二级条标题"/>
    <w:basedOn w:val="76"/>
    <w:next w:val="1"/>
    <w:qFormat/>
    <w:uiPriority w:val="0"/>
    <w:pPr>
      <w:numPr>
        <w:ilvl w:val="3"/>
      </w:numPr>
      <w:outlineLvl w:val="3"/>
    </w:pPr>
  </w:style>
  <w:style w:type="paragraph" w:customStyle="1" w:styleId="76">
    <w:name w:val="一级条标题"/>
    <w:basedOn w:val="70"/>
    <w:next w:val="1"/>
    <w:qFormat/>
    <w:uiPriority w:val="0"/>
    <w:pPr>
      <w:numPr>
        <w:ilvl w:val="2"/>
      </w:numPr>
      <w:spacing w:beforeLines="0" w:afterLines="0"/>
      <w:outlineLvl w:val="2"/>
    </w:pPr>
  </w:style>
  <w:style w:type="paragraph" w:customStyle="1" w:styleId="77">
    <w:name w:val="Char Char Char1"/>
    <w:basedOn w:val="1"/>
    <w:qFormat/>
    <w:uiPriority w:val="0"/>
    <w:rPr>
      <w:rFonts w:ascii="Tahoma" w:hAnsi="Tahoma"/>
      <w:sz w:val="24"/>
      <w:szCs w:val="20"/>
    </w:rPr>
  </w:style>
  <w:style w:type="paragraph" w:customStyle="1" w:styleId="78">
    <w:name w:val="样式5"/>
    <w:basedOn w:val="79"/>
    <w:qFormat/>
    <w:uiPriority w:val="0"/>
    <w:pPr>
      <w:numPr>
        <w:ilvl w:val="3"/>
      </w:numPr>
      <w:tabs>
        <w:tab w:val="left" w:pos="432"/>
      </w:tabs>
      <w:spacing w:before="156"/>
    </w:pPr>
  </w:style>
  <w:style w:type="paragraph" w:customStyle="1" w:styleId="79">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0">
    <w:name w:val="Char"/>
    <w:basedOn w:val="1"/>
    <w:qFormat/>
    <w:uiPriority w:val="0"/>
    <w:pPr>
      <w:adjustRightInd w:val="0"/>
      <w:spacing w:line="360" w:lineRule="auto"/>
    </w:pPr>
    <w:rPr>
      <w:kern w:val="0"/>
      <w:sz w:val="24"/>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三级条标题"/>
    <w:basedOn w:val="75"/>
    <w:next w:val="1"/>
    <w:qFormat/>
    <w:uiPriority w:val="0"/>
    <w:pPr>
      <w:numPr>
        <w:ilvl w:val="4"/>
      </w:numPr>
      <w:outlineLvl w:val="4"/>
    </w:pPr>
  </w:style>
  <w:style w:type="paragraph" w:customStyle="1" w:styleId="83">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 Char Char Char Char Char Char"/>
    <w:basedOn w:val="1"/>
    <w:qFormat/>
    <w:uiPriority w:val="0"/>
    <w:rPr>
      <w:rFonts w:ascii="Tahoma" w:hAnsi="Tahoma" w:cs="Arial"/>
      <w:szCs w:val="21"/>
    </w:rPr>
  </w:style>
  <w:style w:type="paragraph" w:customStyle="1" w:styleId="85">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6">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
    <w:name w:val="五级条标题"/>
    <w:basedOn w:val="88"/>
    <w:next w:val="1"/>
    <w:qFormat/>
    <w:uiPriority w:val="0"/>
    <w:pPr>
      <w:numPr>
        <w:ilvl w:val="6"/>
      </w:numPr>
      <w:outlineLvl w:val="6"/>
    </w:pPr>
  </w:style>
  <w:style w:type="paragraph" w:customStyle="1" w:styleId="88">
    <w:name w:val="四级条标题"/>
    <w:basedOn w:val="82"/>
    <w:next w:val="1"/>
    <w:qFormat/>
    <w:uiPriority w:val="0"/>
    <w:pPr>
      <w:numPr>
        <w:ilvl w:val="5"/>
      </w:numPr>
      <w:outlineLvl w:val="5"/>
    </w:pPr>
  </w:style>
  <w:style w:type="paragraph" w:customStyle="1" w:styleId="89">
    <w:name w:val="Normal Indent1"/>
    <w:basedOn w:val="1"/>
    <w:qFormat/>
    <w:uiPriority w:val="99"/>
    <w:pPr>
      <w:autoSpaceDE w:val="0"/>
      <w:autoSpaceDN w:val="0"/>
      <w:adjustRightInd w:val="0"/>
      <w:ind w:firstLine="420"/>
    </w:pPr>
    <w:rPr>
      <w:kern w:val="0"/>
      <w:szCs w:val="21"/>
    </w:rPr>
  </w:style>
  <w:style w:type="paragraph" w:customStyle="1" w:styleId="9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1">
    <w:name w:val="样式6"/>
    <w:basedOn w:val="79"/>
    <w:qFormat/>
    <w:uiPriority w:val="0"/>
    <w:pPr>
      <w:numPr>
        <w:ilvl w:val="2"/>
      </w:numPr>
      <w:tabs>
        <w:tab w:val="clear" w:pos="432"/>
      </w:tabs>
      <w:spacing w:before="156"/>
      <w:outlineLvl w:val="4"/>
    </w:pPr>
    <w:rPr>
      <w:rFonts w:ascii="MS Shell Dlg" w:hAnsi="MS Shell Dlg"/>
    </w:rPr>
  </w:style>
  <w:style w:type="paragraph" w:styleId="92">
    <w:name w:val="List Paragraph"/>
    <w:basedOn w:val="1"/>
    <w:qFormat/>
    <w:uiPriority w:val="34"/>
    <w:pPr>
      <w:ind w:firstLine="420" w:firstLineChars="200"/>
    </w:pPr>
    <w:rPr>
      <w:sz w:val="28"/>
    </w:rPr>
  </w:style>
  <w:style w:type="paragraph" w:customStyle="1" w:styleId="93">
    <w:name w:val="列出段落1"/>
    <w:basedOn w:val="1"/>
    <w:qFormat/>
    <w:uiPriority w:val="0"/>
    <w:pPr>
      <w:ind w:firstLine="420" w:firstLineChars="200"/>
    </w:pPr>
    <w:rPr>
      <w:rFonts w:ascii="Calibri" w:hAnsi="Calibri"/>
      <w:kern w:val="0"/>
      <w:sz w:val="20"/>
      <w:szCs w:val="20"/>
    </w:rPr>
  </w:style>
  <w:style w:type="paragraph" w:customStyle="1" w:styleId="9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5">
    <w:name w:val="Table Paragraph"/>
    <w:basedOn w:val="1"/>
    <w:unhideWhenUsed/>
    <w:qFormat/>
    <w:uiPriority w:val="1"/>
    <w:rPr>
      <w:rFonts w:hint="eastAsia"/>
      <w:sz w:val="24"/>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6212</Words>
  <Characters>35412</Characters>
  <Lines>295</Lines>
  <Paragraphs>83</Paragraphs>
  <TotalTime>0</TotalTime>
  <ScaleCrop>false</ScaleCrop>
  <LinksUpToDate>false</LinksUpToDate>
  <CharactersWithSpaces>41541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2020-07-15T03:55:00Z</dcterms:created>
  <dc:creator>风之客</dc:creator>
  <cp:lastModifiedBy>盼盼</cp:lastModifiedBy>
  <cp:lastPrinted>2020-07-13T03:12:00Z</cp:lastPrinted>
  <dcterms:modified xsi:type="dcterms:W3CDTF">2020-07-22T06:18:34Z</dcterms:modified>
  <dc:title>湖 北  招 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